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7FE8" w14:textId="77777777" w:rsidR="006D11AD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4FD0D6" wp14:editId="760B58E3">
                <wp:simplePos x="0" y="0"/>
                <wp:positionH relativeFrom="page">
                  <wp:posOffset>0</wp:posOffset>
                </wp:positionH>
                <wp:positionV relativeFrom="page">
                  <wp:posOffset>9524</wp:posOffset>
                </wp:positionV>
                <wp:extent cx="7556500" cy="9867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86790"/>
                          <a:chOff x="0" y="0"/>
                          <a:chExt cx="7556500" cy="98679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Icon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0581" y="505717"/>
                            <a:ext cx="1004990" cy="6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8798" y="476458"/>
                            <a:ext cx="134695" cy="131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4191" y="480604"/>
                            <a:ext cx="153334" cy="11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65077" y="435228"/>
                            <a:ext cx="25400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02565">
                                <a:moveTo>
                                  <a:pt x="3263" y="685"/>
                                </a:moveTo>
                                <a:lnTo>
                                  <a:pt x="2565" y="0"/>
                                </a:lnTo>
                                <a:lnTo>
                                  <a:pt x="698" y="0"/>
                                </a:lnTo>
                                <a:lnTo>
                                  <a:pt x="0" y="685"/>
                                </a:lnTo>
                                <a:lnTo>
                                  <a:pt x="0" y="201815"/>
                                </a:lnTo>
                                <a:lnTo>
                                  <a:pt x="698" y="202501"/>
                                </a:lnTo>
                                <a:lnTo>
                                  <a:pt x="1625" y="202501"/>
                                </a:lnTo>
                                <a:lnTo>
                                  <a:pt x="2565" y="202501"/>
                                </a:lnTo>
                                <a:lnTo>
                                  <a:pt x="3263" y="201815"/>
                                </a:lnTo>
                                <a:lnTo>
                                  <a:pt x="3263" y="685"/>
                                </a:lnTo>
                                <a:close/>
                              </a:path>
                              <a:path w="254000" h="202565">
                                <a:moveTo>
                                  <a:pt x="253974" y="685"/>
                                </a:moveTo>
                                <a:lnTo>
                                  <a:pt x="253276" y="0"/>
                                </a:lnTo>
                                <a:lnTo>
                                  <a:pt x="251409" y="0"/>
                                </a:lnTo>
                                <a:lnTo>
                                  <a:pt x="250710" y="685"/>
                                </a:lnTo>
                                <a:lnTo>
                                  <a:pt x="250710" y="201815"/>
                                </a:lnTo>
                                <a:lnTo>
                                  <a:pt x="251409" y="202501"/>
                                </a:lnTo>
                                <a:lnTo>
                                  <a:pt x="252336" y="202501"/>
                                </a:lnTo>
                                <a:lnTo>
                                  <a:pt x="253276" y="202501"/>
                                </a:lnTo>
                                <a:lnTo>
                                  <a:pt x="253974" y="201815"/>
                                </a:lnTo>
                                <a:lnTo>
                                  <a:pt x="253974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5988" y="491664"/>
                            <a:ext cx="244175" cy="89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542" y="484291"/>
                            <a:ext cx="79381" cy="105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.000009pt;margin-top:.749978pt;width:595pt;height:77.7pt;mso-position-horizontal-relative:page;mso-position-vertical-relative:page;z-index:15728640" id="docshapegroup4" coordorigin="0,15" coordsize="11900,1554">
                <v:shape style="position:absolute;left:0;top:15;width:11900;height:1554" type="#_x0000_t75" id="docshape5" alt="Icon  Description automatically generated" stroked="false">
                  <v:imagedata r:id="rId13" o:title=""/>
                </v:shape>
                <v:shape style="position:absolute;left:8788;top:811;width:1583;height:107" type="#_x0000_t75" id="docshape6" stroked="false">
                  <v:imagedata r:id="rId14" o:title=""/>
                </v:shape>
                <v:shape style="position:absolute;left:7761;top:765;width:213;height:207" type="#_x0000_t75" id="docshape7" stroked="false">
                  <v:imagedata r:id="rId15" o:title=""/>
                </v:shape>
                <v:shape style="position:absolute;left:7345;top:771;width:242;height:177" type="#_x0000_t75" id="docshape8" stroked="false">
                  <v:imagedata r:id="rId16" o:title=""/>
                </v:shape>
                <v:shape style="position:absolute;left:7661;top:700;width:400;height:319" id="docshape9" coordorigin="7662,700" coordsize="400,319" path="m7667,701l7666,700,7663,700,7662,701,7662,1018,7663,1019,7664,1019,7666,1019,7667,1018,7667,701xm8062,701l8060,700,8057,700,8056,701,8056,1018,8057,1019,8059,1019,8060,1019,8062,1018,8062,701xe" filled="true" fillcolor="#f1f4ff" stroked="false">
                  <v:path arrowok="t"/>
                  <v:fill type="solid"/>
                </v:shape>
                <v:shape style="position:absolute;left:8135;top:789;width:385;height:141" type="#_x0000_t75" id="docshape10" stroked="false">
                  <v:imagedata r:id="rId17" o:title=""/>
                </v:shape>
                <v:shape style="position:absolute;left:8550;top:777;width:125;height:166" type="#_x0000_t75" id="docshape11" stroked="false">
                  <v:imagedata r:id="rId18" o:title=""/>
                </v:shape>
                <w10:wrap type="none"/>
              </v:group>
            </w:pict>
          </mc:Fallback>
        </mc:AlternateContent>
      </w:r>
    </w:p>
    <w:p w14:paraId="2DC7D31B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65FA74E5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546356F9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020C69E0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31465A91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730D3C40" w14:textId="77777777" w:rsidR="006D11AD" w:rsidRDefault="006D11AD">
      <w:pPr>
        <w:pStyle w:val="Textoindependiente"/>
        <w:rPr>
          <w:rFonts w:ascii="Times New Roman"/>
          <w:sz w:val="20"/>
        </w:rPr>
      </w:pPr>
    </w:p>
    <w:p w14:paraId="5DCD5058" w14:textId="77777777" w:rsidR="006D11AD" w:rsidRDefault="006D11AD">
      <w:pPr>
        <w:pStyle w:val="Textoindependiente"/>
        <w:spacing w:before="225"/>
        <w:rPr>
          <w:rFonts w:ascii="Times New Roman"/>
          <w:sz w:val="20"/>
        </w:rPr>
      </w:pPr>
    </w:p>
    <w:p w14:paraId="28902BCB" w14:textId="77777777" w:rsidR="006D11AD" w:rsidRDefault="00000000">
      <w:pPr>
        <w:ind w:left="74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5DF0AE" wp14:editId="62DDBB4A">
            <wp:extent cx="995822" cy="649128"/>
            <wp:effectExtent l="0" t="0" r="0" b="381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822" cy="6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CCCD5" w14:textId="77777777" w:rsidR="006D11AD" w:rsidRDefault="00000000">
      <w:pPr>
        <w:ind w:left="143"/>
        <w:rPr>
          <w:sz w:val="24"/>
        </w:rPr>
      </w:pPr>
      <w:r>
        <w:rPr>
          <w:color w:val="6D7892"/>
          <w:sz w:val="24"/>
        </w:rPr>
        <w:t>Nota</w:t>
      </w:r>
      <w:r>
        <w:rPr>
          <w:color w:val="6D7892"/>
          <w:spacing w:val="-3"/>
          <w:sz w:val="24"/>
        </w:rPr>
        <w:t xml:space="preserve"> </w:t>
      </w:r>
      <w:r>
        <w:rPr>
          <w:color w:val="6D7892"/>
          <w:sz w:val="24"/>
        </w:rPr>
        <w:t xml:space="preserve">de </w:t>
      </w:r>
      <w:r>
        <w:rPr>
          <w:color w:val="6D7892"/>
          <w:spacing w:val="-2"/>
          <w:sz w:val="24"/>
        </w:rPr>
        <w:t>prensa</w:t>
      </w:r>
    </w:p>
    <w:p w14:paraId="407AE929" w14:textId="77777777" w:rsidR="006D11AD" w:rsidRDefault="00000000">
      <w:pPr>
        <w:pStyle w:val="Ttulo1"/>
      </w:pPr>
      <w:r>
        <w:rPr>
          <w:color w:val="0066FF"/>
        </w:rPr>
        <w:t>Telefónica y Amper actualizan las redes de comunicaciones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críticas</w:t>
      </w:r>
      <w:r>
        <w:rPr>
          <w:color w:val="0066FF"/>
          <w:spacing w:val="-8"/>
        </w:rPr>
        <w:t xml:space="preserve"> </w:t>
      </w:r>
      <w:r>
        <w:rPr>
          <w:color w:val="0066FF"/>
        </w:rPr>
        <w:t>en</w:t>
      </w:r>
      <w:r>
        <w:rPr>
          <w:color w:val="0066FF"/>
          <w:spacing w:val="-5"/>
        </w:rPr>
        <w:t xml:space="preserve"> </w:t>
      </w:r>
      <w:r>
        <w:rPr>
          <w:color w:val="0066FF"/>
        </w:rPr>
        <w:t>diez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aeropuertos</w:t>
      </w:r>
      <w:r>
        <w:rPr>
          <w:color w:val="0066FF"/>
          <w:spacing w:val="-6"/>
        </w:rPr>
        <w:t xml:space="preserve"> </w:t>
      </w:r>
      <w:r>
        <w:rPr>
          <w:color w:val="0066FF"/>
        </w:rPr>
        <w:t>de</w:t>
      </w:r>
      <w:r>
        <w:rPr>
          <w:color w:val="0066FF"/>
          <w:spacing w:val="-4"/>
        </w:rPr>
        <w:t xml:space="preserve"> </w:t>
      </w:r>
      <w:r>
        <w:rPr>
          <w:color w:val="0066FF"/>
        </w:rPr>
        <w:t>Aena</w:t>
      </w:r>
    </w:p>
    <w:p w14:paraId="464FA54F" w14:textId="77777777" w:rsidR="006D11AD" w:rsidRDefault="006D11AD">
      <w:pPr>
        <w:pStyle w:val="Textoindependiente"/>
        <w:spacing w:before="97"/>
        <w:rPr>
          <w:rFonts w:ascii="Arial"/>
          <w:b/>
          <w:sz w:val="36"/>
        </w:rPr>
      </w:pPr>
    </w:p>
    <w:p w14:paraId="78859240" w14:textId="77777777" w:rsidR="006D11AD" w:rsidRPr="00751EDF" w:rsidRDefault="00000000">
      <w:pPr>
        <w:pStyle w:val="Prrafodelista"/>
        <w:numPr>
          <w:ilvl w:val="0"/>
          <w:numId w:val="1"/>
        </w:numPr>
        <w:tabs>
          <w:tab w:val="left" w:pos="854"/>
        </w:tabs>
        <w:spacing w:line="235" w:lineRule="auto"/>
      </w:pPr>
      <w:r>
        <w:rPr>
          <w:color w:val="6D7892"/>
        </w:rPr>
        <w:t>Este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proyecto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desarrollado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por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ambas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compañías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reforzará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los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estándares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seguridad y disponibilidad de las comunicaciones más importantes para infraestructuras aeroportuarias estratégicas.</w:t>
      </w:r>
    </w:p>
    <w:p w14:paraId="17956EF0" w14:textId="5D4D5814" w:rsidR="00751EDF" w:rsidRDefault="00751EDF">
      <w:pPr>
        <w:pStyle w:val="Prrafodelista"/>
        <w:numPr>
          <w:ilvl w:val="0"/>
          <w:numId w:val="1"/>
        </w:numPr>
        <w:tabs>
          <w:tab w:val="left" w:pos="854"/>
        </w:tabs>
        <w:spacing w:line="235" w:lineRule="auto"/>
      </w:pPr>
      <w:r>
        <w:rPr>
          <w:color w:val="6D7892"/>
        </w:rPr>
        <w:t>El de A Coruña, entre los aeropuertos en los que se trabajará en los próximos seis meses para implantar mecanismos avanzados de autenticación y cifrado</w:t>
      </w:r>
      <w:r w:rsidR="000114E8">
        <w:rPr>
          <w:color w:val="6D7892"/>
        </w:rPr>
        <w:t>.</w:t>
      </w:r>
    </w:p>
    <w:p w14:paraId="37489730" w14:textId="77777777" w:rsidR="006D11AD" w:rsidRDefault="006D11AD">
      <w:pPr>
        <w:pStyle w:val="Textoindependiente"/>
      </w:pPr>
    </w:p>
    <w:p w14:paraId="76DCE2AD" w14:textId="77777777" w:rsidR="006D11AD" w:rsidRDefault="006D11AD">
      <w:pPr>
        <w:pStyle w:val="Textoindependiente"/>
        <w:spacing w:before="23"/>
      </w:pPr>
    </w:p>
    <w:p w14:paraId="12F109AD" w14:textId="77777777" w:rsidR="006D11AD" w:rsidRDefault="00000000">
      <w:pPr>
        <w:pStyle w:val="Textoindependiente"/>
        <w:spacing w:before="1"/>
        <w:ind w:left="143"/>
      </w:pPr>
      <w:r>
        <w:rPr>
          <w:rFonts w:ascii="Arial" w:hAnsi="Arial"/>
          <w:b/>
          <w:color w:val="6D7892"/>
        </w:rPr>
        <w:t>Madrid,</w:t>
      </w:r>
      <w:r>
        <w:rPr>
          <w:rFonts w:ascii="Arial" w:hAnsi="Arial"/>
          <w:b/>
          <w:color w:val="6D7892"/>
          <w:spacing w:val="-3"/>
        </w:rPr>
        <w:t xml:space="preserve"> </w:t>
      </w:r>
      <w:r>
        <w:rPr>
          <w:rFonts w:ascii="Arial" w:hAnsi="Arial"/>
          <w:b/>
          <w:color w:val="6D7892"/>
        </w:rPr>
        <w:t>9</w:t>
      </w:r>
      <w:r>
        <w:rPr>
          <w:rFonts w:ascii="Arial" w:hAnsi="Arial"/>
          <w:b/>
          <w:color w:val="6D7892"/>
          <w:spacing w:val="-2"/>
        </w:rPr>
        <w:t xml:space="preserve"> </w:t>
      </w:r>
      <w:r>
        <w:rPr>
          <w:rFonts w:ascii="Arial" w:hAnsi="Arial"/>
          <w:b/>
          <w:color w:val="6D7892"/>
        </w:rPr>
        <w:t>de</w:t>
      </w:r>
      <w:r>
        <w:rPr>
          <w:rFonts w:ascii="Arial" w:hAnsi="Arial"/>
          <w:b/>
          <w:color w:val="6D7892"/>
          <w:spacing w:val="-4"/>
        </w:rPr>
        <w:t xml:space="preserve"> </w:t>
      </w:r>
      <w:r>
        <w:rPr>
          <w:rFonts w:ascii="Arial" w:hAnsi="Arial"/>
          <w:b/>
          <w:color w:val="6D7892"/>
        </w:rPr>
        <w:t>junio</w:t>
      </w:r>
      <w:r>
        <w:rPr>
          <w:rFonts w:ascii="Arial" w:hAnsi="Arial"/>
          <w:b/>
          <w:color w:val="6D7892"/>
          <w:spacing w:val="-2"/>
        </w:rPr>
        <w:t xml:space="preserve"> </w:t>
      </w:r>
      <w:r>
        <w:rPr>
          <w:rFonts w:ascii="Arial" w:hAnsi="Arial"/>
          <w:b/>
          <w:color w:val="6D7892"/>
        </w:rPr>
        <w:t>de</w:t>
      </w:r>
      <w:r>
        <w:rPr>
          <w:rFonts w:ascii="Arial" w:hAnsi="Arial"/>
          <w:b/>
          <w:color w:val="6D7892"/>
          <w:spacing w:val="-5"/>
        </w:rPr>
        <w:t xml:space="preserve"> </w:t>
      </w:r>
      <w:r>
        <w:rPr>
          <w:rFonts w:ascii="Arial" w:hAnsi="Arial"/>
          <w:b/>
          <w:color w:val="6D7892"/>
        </w:rPr>
        <w:t>2026. –</w:t>
      </w:r>
      <w:r>
        <w:rPr>
          <w:rFonts w:ascii="Arial" w:hAnsi="Arial"/>
          <w:b/>
          <w:color w:val="6D7892"/>
          <w:spacing w:val="-4"/>
        </w:rPr>
        <w:t xml:space="preserve"> </w:t>
      </w:r>
      <w:r>
        <w:rPr>
          <w:color w:val="6D7892"/>
        </w:rPr>
        <w:t>Telefónica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España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Amper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serán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las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empresas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encargadas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de renovar las redes de radiocomunicaciones DMR y TETRA en diez aeropuertos españoles gestionados por Aena.</w:t>
      </w:r>
    </w:p>
    <w:p w14:paraId="440CEB05" w14:textId="77777777" w:rsidR="006D11AD" w:rsidRDefault="00000000">
      <w:pPr>
        <w:pStyle w:val="Textoindependiente"/>
        <w:spacing w:before="251"/>
        <w:ind w:left="143"/>
      </w:pPr>
      <w:r>
        <w:rPr>
          <w:color w:val="6D7892"/>
        </w:rPr>
        <w:t>La renovación de estas redes de radiocomunicaciones, que son sistemas de comunicaciones altamente confiables y a prueba de fallos, permitirá mejorar la resiliencia y disponibilidad de las soluciones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que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soportan</w:t>
      </w:r>
      <w:r>
        <w:rPr>
          <w:color w:val="6D7892"/>
          <w:spacing w:val="-7"/>
        </w:rPr>
        <w:t xml:space="preserve"> </w:t>
      </w:r>
      <w:r>
        <w:rPr>
          <w:color w:val="6D7892"/>
        </w:rPr>
        <w:t>la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coordinación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los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distintos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servicios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aeroportuarios,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contribuyendo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a garantizar la seguridad y eficiencia de las operaciones en entornos de alta exigencia operativa.</w:t>
      </w:r>
    </w:p>
    <w:p w14:paraId="3EA0E8FF" w14:textId="77777777" w:rsidR="006D11AD" w:rsidRDefault="006D11AD">
      <w:pPr>
        <w:pStyle w:val="Textoindependiente"/>
      </w:pPr>
    </w:p>
    <w:p w14:paraId="3E1751BC" w14:textId="77777777" w:rsidR="006D11AD" w:rsidRDefault="00000000">
      <w:pPr>
        <w:pStyle w:val="Textoindependiente"/>
        <w:ind w:left="143" w:right="205"/>
      </w:pPr>
      <w:r>
        <w:rPr>
          <w:color w:val="6D7892"/>
        </w:rPr>
        <w:t>En concreto, el proyecto contempla la modernización de las infraestructuras existentes mediante la implantación de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mecanismos avanzados de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autenticación y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cifrado,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tanto en la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red como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en los terminales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usuario.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Así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se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podrán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reforzar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los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estándares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seguridad,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integridad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protección de las comunicaciones críticas en el entorno aeroportuario, garantizando una mayor fiabilidad en los sistemas de coordinación operativa.</w:t>
      </w:r>
    </w:p>
    <w:p w14:paraId="1FA75DA2" w14:textId="77777777" w:rsidR="006D11AD" w:rsidRDefault="006D11AD">
      <w:pPr>
        <w:pStyle w:val="Textoindependiente"/>
        <w:spacing w:before="2"/>
      </w:pPr>
    </w:p>
    <w:p w14:paraId="72BFDC80" w14:textId="77777777" w:rsidR="006D11AD" w:rsidRDefault="00000000">
      <w:pPr>
        <w:pStyle w:val="Textoindependiente"/>
        <w:ind w:left="143"/>
      </w:pPr>
      <w:r>
        <w:rPr>
          <w:color w:val="6D7892"/>
        </w:rPr>
        <w:t>Los aeropuertos sobre los que se trabajará en los próximos 36 meses son: Josep Tarradellas Barcelona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–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El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Prat,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Málaga –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Costa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del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Sol,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Palma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Mallorca, A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Coruña,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Girona –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Costa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Brava, Tenerife Sur, Fuerteventura, Seve Ballesteros – Santander, La Palma y Valencia, todos ellos considerados como infraestructuras críticas dentro de la red aeroportuaria gestionada por Aena.</w:t>
      </w:r>
    </w:p>
    <w:p w14:paraId="457B13BC" w14:textId="77777777" w:rsidR="006D11AD" w:rsidRDefault="00000000">
      <w:pPr>
        <w:pStyle w:val="Textoindependiente"/>
        <w:spacing w:before="253"/>
        <w:ind w:left="143"/>
      </w:pPr>
      <w:r>
        <w:rPr>
          <w:color w:val="6D7892"/>
        </w:rPr>
        <w:t>Con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esta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adjudicación,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Amper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Telefónica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refuerzan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su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colaboración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incrementan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su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capacidad para abordar proyectos de complejidad tecnológica en entornos que requieren altos niveles de disponibilidad, seguridad y continuidad del servicio.</w:t>
      </w:r>
    </w:p>
    <w:p w14:paraId="1DB0E93E" w14:textId="77777777" w:rsidR="006D11AD" w:rsidRDefault="00000000">
      <w:pPr>
        <w:pStyle w:val="Textoindependiente"/>
        <w:spacing w:before="252"/>
        <w:ind w:left="143" w:right="205"/>
      </w:pPr>
      <w:r>
        <w:rPr>
          <w:color w:val="6D7892"/>
        </w:rPr>
        <w:t>La red DMR (Digital Mobile Radio), ampliamente implantada en entornos empresariales, industriales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empresariales, consiste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en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un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sistema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radio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digital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que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permite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que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personas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o equipos se comuniquen por voz y datos de forma clara y eficiente.</w:t>
      </w:r>
    </w:p>
    <w:p w14:paraId="26F0B01D" w14:textId="77777777" w:rsidR="006D11AD" w:rsidRDefault="006D11AD">
      <w:pPr>
        <w:pStyle w:val="Textoindependiente"/>
      </w:pPr>
    </w:p>
    <w:p w14:paraId="7AA11209" w14:textId="77777777" w:rsidR="006D11AD" w:rsidRDefault="00000000">
      <w:pPr>
        <w:pStyle w:val="Textoindependiente"/>
        <w:spacing w:before="1"/>
        <w:ind w:left="143" w:right="205"/>
      </w:pPr>
      <w:r>
        <w:rPr>
          <w:color w:val="6D7892"/>
        </w:rPr>
        <w:t>Por su parte, la red TETRA (Terrestrial Trunked Radio) supone el estándar de radiocomunicaciones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digitales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misión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crítica, diseñado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para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ofrecer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comunicaciones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seguras, fiables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alta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disponibilidad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cuando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se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requieren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funcionalidades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avanzadas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y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un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alto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nivel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 xml:space="preserve">de </w:t>
      </w:r>
      <w:r>
        <w:rPr>
          <w:color w:val="6D7892"/>
          <w:spacing w:val="-2"/>
        </w:rPr>
        <w:t>disponibilidad.</w:t>
      </w:r>
    </w:p>
    <w:p w14:paraId="103DEABE" w14:textId="77777777" w:rsidR="006D11AD" w:rsidRDefault="006D11AD">
      <w:pPr>
        <w:pStyle w:val="Textoindependiente"/>
        <w:sectPr w:rsidR="006D11AD">
          <w:footerReference w:type="default" r:id="rId20"/>
          <w:type w:val="continuous"/>
          <w:pgSz w:w="11900" w:h="16850"/>
          <w:pgMar w:top="20" w:right="708" w:bottom="1880" w:left="1275" w:header="0" w:footer="1697" w:gutter="0"/>
          <w:pgNumType w:start="1"/>
          <w:cols w:space="720"/>
        </w:sectPr>
      </w:pPr>
    </w:p>
    <w:p w14:paraId="32633E16" w14:textId="77777777" w:rsidR="006D11AD" w:rsidRDefault="00000000">
      <w:pPr>
        <w:pStyle w:val="Textoindependiente"/>
        <w:spacing w:before="81"/>
        <w:ind w:left="143"/>
      </w:pPr>
      <w:r>
        <w:rPr>
          <w:color w:val="6D7892"/>
        </w:rPr>
        <w:lastRenderedPageBreak/>
        <w:t>Javier López Gutiérrez, director de Telefónica Defensa y Seguridad, señala: “Este proyecto nos confirma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como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un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actor</w:t>
      </w:r>
      <w:r>
        <w:rPr>
          <w:color w:val="6D7892"/>
          <w:spacing w:val="-6"/>
        </w:rPr>
        <w:t xml:space="preserve"> </w:t>
      </w:r>
      <w:r>
        <w:rPr>
          <w:color w:val="6D7892"/>
        </w:rPr>
        <w:t>clave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en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el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ámbito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la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seguridad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pública,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al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ofrecer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a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nuestros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clientes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 xml:space="preserve">la mejor red para que accedan a la tecnología más innovadora con la que cubrir sus necesidades de </w:t>
      </w:r>
      <w:r>
        <w:rPr>
          <w:color w:val="6D7892"/>
          <w:spacing w:val="-2"/>
        </w:rPr>
        <w:t>comunicación”.</w:t>
      </w:r>
    </w:p>
    <w:p w14:paraId="24519B46" w14:textId="77777777" w:rsidR="006D11AD" w:rsidRDefault="006D11AD">
      <w:pPr>
        <w:pStyle w:val="Textoindependiente"/>
      </w:pPr>
    </w:p>
    <w:p w14:paraId="69BE98A1" w14:textId="77777777" w:rsidR="006D11AD" w:rsidRDefault="00000000">
      <w:pPr>
        <w:pStyle w:val="Textoindependiente"/>
        <w:ind w:left="143" w:right="205"/>
      </w:pPr>
      <w:r>
        <w:rPr>
          <w:color w:val="6D7892"/>
        </w:rPr>
        <w:t>Enrique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López</w:t>
      </w:r>
      <w:r>
        <w:rPr>
          <w:color w:val="6D7892"/>
          <w:spacing w:val="-2"/>
        </w:rPr>
        <w:t xml:space="preserve"> </w:t>
      </w:r>
      <w:r>
        <w:rPr>
          <w:color w:val="6D7892"/>
        </w:rPr>
        <w:t>Pérez,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CEO</w:t>
      </w:r>
      <w:r>
        <w:rPr>
          <w:color w:val="6D7892"/>
          <w:spacing w:val="-1"/>
        </w:rPr>
        <w:t xml:space="preserve"> </w:t>
      </w:r>
      <w:r>
        <w:rPr>
          <w:color w:val="6D7892"/>
        </w:rPr>
        <w:t>de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Amper,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destaca:</w:t>
      </w:r>
      <w:r>
        <w:rPr>
          <w:color w:val="6D7892"/>
          <w:spacing w:val="-4"/>
        </w:rPr>
        <w:t xml:space="preserve"> </w:t>
      </w:r>
      <w:r>
        <w:rPr>
          <w:color w:val="6D7892"/>
        </w:rPr>
        <w:t>“Este</w:t>
      </w:r>
      <w:r>
        <w:rPr>
          <w:color w:val="6D7892"/>
          <w:spacing w:val="-3"/>
        </w:rPr>
        <w:t xml:space="preserve"> </w:t>
      </w:r>
      <w:r>
        <w:rPr>
          <w:color w:val="6D7892"/>
        </w:rPr>
        <w:t>proyecto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consolida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nuestro</w:t>
      </w:r>
      <w:r>
        <w:rPr>
          <w:color w:val="6D7892"/>
          <w:spacing w:val="-5"/>
        </w:rPr>
        <w:t xml:space="preserve"> </w:t>
      </w:r>
      <w:r>
        <w:rPr>
          <w:color w:val="6D7892"/>
        </w:rPr>
        <w:t>posicionamiento en el ámbito de las comunicaciones seguras para sectores estratégicos, en este caso para el funcionamiento de infraestructuras críticas como son los aeropuertos”.</w:t>
      </w:r>
    </w:p>
    <w:p w14:paraId="56A6B2DF" w14:textId="77777777" w:rsidR="006D11AD" w:rsidRPr="00751EDF" w:rsidRDefault="006D11AD">
      <w:pPr>
        <w:pStyle w:val="Textoindependiente"/>
        <w:spacing w:before="233"/>
        <w:rPr>
          <w:sz w:val="20"/>
          <w:szCs w:val="20"/>
        </w:rPr>
      </w:pPr>
    </w:p>
    <w:p w14:paraId="5428FDE9" w14:textId="77777777" w:rsidR="006D11AD" w:rsidRPr="00751EDF" w:rsidRDefault="00000000">
      <w:pPr>
        <w:pStyle w:val="Ttulo2"/>
        <w:spacing w:before="1"/>
        <w:rPr>
          <w:sz w:val="20"/>
          <w:szCs w:val="20"/>
        </w:rPr>
      </w:pPr>
      <w:r w:rsidRPr="00751EDF">
        <w:rPr>
          <w:color w:val="6D7892"/>
          <w:sz w:val="20"/>
          <w:szCs w:val="20"/>
        </w:rPr>
        <w:t>Sobre</w:t>
      </w:r>
      <w:r w:rsidRPr="00751EDF">
        <w:rPr>
          <w:color w:val="6D7892"/>
          <w:spacing w:val="-5"/>
          <w:sz w:val="20"/>
          <w:szCs w:val="20"/>
        </w:rPr>
        <w:t xml:space="preserve"> </w:t>
      </w:r>
      <w:r w:rsidRPr="00751EDF">
        <w:rPr>
          <w:color w:val="6D7892"/>
          <w:spacing w:val="-2"/>
          <w:sz w:val="20"/>
          <w:szCs w:val="20"/>
        </w:rPr>
        <w:t>Telefónica</w:t>
      </w:r>
    </w:p>
    <w:p w14:paraId="43A1B8DF" w14:textId="77777777" w:rsidR="006D11AD" w:rsidRDefault="00000000">
      <w:pPr>
        <w:ind w:left="143" w:right="205"/>
        <w:rPr>
          <w:sz w:val="20"/>
        </w:rPr>
      </w:pPr>
      <w:r>
        <w:rPr>
          <w:color w:val="6D7892"/>
          <w:sz w:val="20"/>
        </w:rPr>
        <w:t>Telefónica es una de las principales compañías de servicios de telecomunicaciones a nivel mundial. La compañía ha asumido el reto indiscutible de ser la mejor vía de acceso a las tecnologías digitales para los ciudadanos, las empresas y las administraciones públicas, impulsando así el desarrollo económico y social en los países donde opera. Telefónica ofrece servicios de conectividad fija y móvil, así como una amplia gama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5"/>
          <w:sz w:val="20"/>
        </w:rPr>
        <w:t xml:space="preserve"> </w:t>
      </w:r>
      <w:r>
        <w:rPr>
          <w:color w:val="6D7892"/>
          <w:sz w:val="20"/>
        </w:rPr>
        <w:t>soluciones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digitales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para</w:t>
      </w:r>
      <w:r>
        <w:rPr>
          <w:color w:val="6D7892"/>
          <w:spacing w:val="-4"/>
          <w:sz w:val="20"/>
        </w:rPr>
        <w:t xml:space="preserve"> </w:t>
      </w:r>
      <w:r>
        <w:rPr>
          <w:color w:val="6D7892"/>
          <w:sz w:val="20"/>
        </w:rPr>
        <w:t>clientes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residenciales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y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empresas.</w:t>
      </w:r>
      <w:r>
        <w:rPr>
          <w:color w:val="6D7892"/>
          <w:spacing w:val="-4"/>
          <w:sz w:val="20"/>
        </w:rPr>
        <w:t xml:space="preserve"> </w:t>
      </w:r>
      <w:r>
        <w:rPr>
          <w:color w:val="6D7892"/>
          <w:sz w:val="20"/>
        </w:rPr>
        <w:t>Con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más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4"/>
          <w:sz w:val="20"/>
        </w:rPr>
        <w:t xml:space="preserve"> </w:t>
      </w:r>
      <w:r>
        <w:rPr>
          <w:color w:val="6D7892"/>
          <w:sz w:val="20"/>
        </w:rPr>
        <w:t>297</w:t>
      </w:r>
      <w:r>
        <w:rPr>
          <w:color w:val="6D7892"/>
          <w:spacing w:val="-4"/>
          <w:sz w:val="20"/>
        </w:rPr>
        <w:t xml:space="preserve"> </w:t>
      </w:r>
      <w:r>
        <w:rPr>
          <w:color w:val="6D7892"/>
          <w:sz w:val="20"/>
        </w:rPr>
        <w:t>millones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accesos, Telefónica centra su actividad en cuatro mercados prioritarios: España, Brasil, Alemania y Reino Unido.</w:t>
      </w:r>
    </w:p>
    <w:p w14:paraId="2E3E2C10" w14:textId="77777777" w:rsidR="006D11AD" w:rsidRDefault="006D11AD">
      <w:pPr>
        <w:pStyle w:val="Textoindependiente"/>
        <w:spacing w:before="23"/>
        <w:rPr>
          <w:sz w:val="20"/>
        </w:rPr>
      </w:pPr>
    </w:p>
    <w:p w14:paraId="222D2E9E" w14:textId="77777777" w:rsidR="006D11AD" w:rsidRPr="00751EDF" w:rsidRDefault="00000000">
      <w:pPr>
        <w:pStyle w:val="Ttulo2"/>
        <w:spacing w:line="276" w:lineRule="exact"/>
        <w:rPr>
          <w:sz w:val="20"/>
          <w:szCs w:val="20"/>
        </w:rPr>
      </w:pPr>
      <w:r w:rsidRPr="00751EDF">
        <w:rPr>
          <w:color w:val="6D7892"/>
          <w:sz w:val="20"/>
          <w:szCs w:val="20"/>
        </w:rPr>
        <w:t>Sobre</w:t>
      </w:r>
      <w:r w:rsidRPr="00751EDF">
        <w:rPr>
          <w:color w:val="6D7892"/>
          <w:spacing w:val="-3"/>
          <w:sz w:val="20"/>
          <w:szCs w:val="20"/>
        </w:rPr>
        <w:t xml:space="preserve"> </w:t>
      </w:r>
      <w:r w:rsidRPr="00751EDF">
        <w:rPr>
          <w:color w:val="6D7892"/>
          <w:spacing w:val="-2"/>
          <w:sz w:val="20"/>
          <w:szCs w:val="20"/>
        </w:rPr>
        <w:t>Amper</w:t>
      </w:r>
    </w:p>
    <w:p w14:paraId="3A621DD8" w14:textId="77777777" w:rsidR="006D11AD" w:rsidRDefault="00000000">
      <w:pPr>
        <w:ind w:left="143" w:right="205"/>
        <w:rPr>
          <w:sz w:val="20"/>
        </w:rPr>
      </w:pPr>
      <w:r>
        <w:rPr>
          <w:color w:val="6D7892"/>
          <w:sz w:val="20"/>
        </w:rPr>
        <w:t>Amper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es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un</w:t>
      </w:r>
      <w:r>
        <w:rPr>
          <w:color w:val="6D7892"/>
          <w:spacing w:val="-1"/>
          <w:sz w:val="20"/>
        </w:rPr>
        <w:t xml:space="preserve"> </w:t>
      </w:r>
      <w:r>
        <w:rPr>
          <w:color w:val="6D7892"/>
          <w:sz w:val="20"/>
        </w:rPr>
        <w:t>Grupo</w:t>
      </w:r>
      <w:r>
        <w:rPr>
          <w:color w:val="6D7892"/>
          <w:spacing w:val="-1"/>
          <w:sz w:val="20"/>
        </w:rPr>
        <w:t xml:space="preserve"> </w:t>
      </w:r>
      <w:r>
        <w:rPr>
          <w:color w:val="6D7892"/>
          <w:sz w:val="20"/>
        </w:rPr>
        <w:t>empresarial</w:t>
      </w:r>
      <w:r>
        <w:rPr>
          <w:color w:val="6D7892"/>
          <w:spacing w:val="-4"/>
          <w:sz w:val="20"/>
        </w:rPr>
        <w:t xml:space="preserve"> </w:t>
      </w:r>
      <w:r>
        <w:rPr>
          <w:color w:val="6D7892"/>
          <w:sz w:val="20"/>
        </w:rPr>
        <w:t>con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70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años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historia,</w:t>
      </w:r>
      <w:r>
        <w:rPr>
          <w:color w:val="6D7892"/>
          <w:spacing w:val="-1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los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cuales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40</w:t>
      </w:r>
      <w:r>
        <w:rPr>
          <w:color w:val="6D7892"/>
          <w:spacing w:val="-1"/>
          <w:sz w:val="20"/>
        </w:rPr>
        <w:t xml:space="preserve"> </w:t>
      </w:r>
      <w:r>
        <w:rPr>
          <w:color w:val="6D7892"/>
          <w:sz w:val="20"/>
        </w:rPr>
        <w:t>de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ellos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han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estado</w:t>
      </w:r>
      <w:r>
        <w:rPr>
          <w:color w:val="6D7892"/>
          <w:spacing w:val="-3"/>
          <w:sz w:val="20"/>
        </w:rPr>
        <w:t xml:space="preserve"> </w:t>
      </w:r>
      <w:r>
        <w:rPr>
          <w:color w:val="6D7892"/>
          <w:sz w:val="20"/>
        </w:rPr>
        <w:t>cotizando</w:t>
      </w:r>
      <w:r>
        <w:rPr>
          <w:color w:val="6D7892"/>
          <w:spacing w:val="-2"/>
          <w:sz w:val="20"/>
        </w:rPr>
        <w:t xml:space="preserve"> </w:t>
      </w:r>
      <w:r>
        <w:rPr>
          <w:color w:val="6D7892"/>
          <w:sz w:val="20"/>
        </w:rPr>
        <w:t>en el mercado continuo español; con una importante presencia internacional en más de 20 países; líder en capacidades tecnológicas de uso dual, industriales estratégicas, y de ingeniería, para los mercados de Defensa y Seguridad Nacional, y Energía y Sostenibilidad. El Grupo Amper busca liderar la promoción y fortalecimiento de capacidades estratégicas en sectores críticos, contribuyendo al fortalecimiento de la soberanía nacional y el bienestar social de los países en los que opera.</w:t>
      </w:r>
    </w:p>
    <w:p w14:paraId="611FB505" w14:textId="77777777" w:rsidR="006D11AD" w:rsidRDefault="006D11AD">
      <w:pPr>
        <w:pStyle w:val="Textoindependiente"/>
        <w:rPr>
          <w:sz w:val="20"/>
        </w:rPr>
      </w:pPr>
    </w:p>
    <w:p w14:paraId="18705A95" w14:textId="7D4B9D08" w:rsidR="006D11AD" w:rsidRDefault="006D11AD">
      <w:pPr>
        <w:pStyle w:val="Textoindependiente"/>
        <w:spacing w:before="40"/>
        <w:rPr>
          <w:sz w:val="20"/>
        </w:rPr>
      </w:pPr>
    </w:p>
    <w:sectPr w:rsidR="006D11AD">
      <w:pgSz w:w="11900" w:h="16850"/>
      <w:pgMar w:top="1620" w:right="708" w:bottom="1880" w:left="1275" w:header="0" w:footer="1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B5B4" w14:textId="77777777" w:rsidR="005D587C" w:rsidRDefault="005D587C">
      <w:r>
        <w:separator/>
      </w:r>
    </w:p>
  </w:endnote>
  <w:endnote w:type="continuationSeparator" w:id="0">
    <w:p w14:paraId="1246C616" w14:textId="77777777" w:rsidR="005D587C" w:rsidRDefault="005D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20F" w14:textId="77777777" w:rsidR="006D11A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3C94F94" wp14:editId="5CFE9A75">
              <wp:simplePos x="0" y="0"/>
              <wp:positionH relativeFrom="page">
                <wp:posOffset>888288</wp:posOffset>
              </wp:positionH>
              <wp:positionV relativeFrom="page">
                <wp:posOffset>9476733</wp:posOffset>
              </wp:positionV>
              <wp:extent cx="2276475" cy="605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6475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46BA3" w14:textId="77777777" w:rsidR="006D11AD" w:rsidRDefault="00000000">
                          <w:pPr>
                            <w:spacing w:before="12"/>
                            <w:ind w:left="20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D7892"/>
                              <w:spacing w:val="-2"/>
                              <w:sz w:val="20"/>
                            </w:rPr>
                            <w:t>Telefónica,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pacing w:val="-4"/>
                              <w:sz w:val="20"/>
                            </w:rPr>
                            <w:t>S.A.</w:t>
                          </w:r>
                        </w:p>
                        <w:p w14:paraId="6D122F1E" w14:textId="77777777" w:rsidR="006D11AD" w:rsidRDefault="00000000">
                          <w:pPr>
                            <w:spacing w:before="1"/>
                            <w:ind w:left="2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6D7892"/>
                              <w:sz w:val="20"/>
                            </w:rPr>
                            <w:t>Dirección</w:t>
                          </w:r>
                          <w:r>
                            <w:rPr>
                              <w:color w:val="6D789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D7892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D7892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D7892"/>
                              <w:sz w:val="20"/>
                            </w:rPr>
                            <w:t>Comunicación</w:t>
                          </w:r>
                          <w:r>
                            <w:rPr>
                              <w:color w:val="6D789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D7892"/>
                              <w:sz w:val="20"/>
                            </w:rPr>
                            <w:t>Corporativa email:</w:t>
                          </w:r>
                          <w:r>
                            <w:rPr>
                              <w:color w:val="6D7892"/>
                              <w:spacing w:val="-14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6D11AD">
                              <w:rPr>
                                <w:color w:val="6D7892"/>
                                <w:sz w:val="20"/>
                              </w:rPr>
                              <w:t>prensatelefonica@telefonica.com</w:t>
                            </w:r>
                          </w:hyperlink>
                          <w:r>
                            <w:rPr>
                              <w:color w:val="6D789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6FF"/>
                              <w:spacing w:val="-2"/>
                              <w:sz w:val="20"/>
                            </w:rPr>
                            <w:t>telefonica.com/es/sala-comunicacion/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46.199463pt;width:179.25pt;height:47.7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D7892"/>
                        <w:spacing w:val="-2"/>
                        <w:sz w:val="20"/>
                      </w:rPr>
                      <w:t>Telefónica,</w:t>
                    </w:r>
                    <w:r>
                      <w:rPr>
                        <w:rFonts w:ascii="Arial" w:hAnsi="Arial"/>
                        <w:b/>
                        <w:color w:val="6D7892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6D7892"/>
                        <w:spacing w:val="-4"/>
                        <w:sz w:val="20"/>
                      </w:rPr>
                      <w:t>S.A.</w:t>
                    </w:r>
                  </w:p>
                  <w:p>
                    <w:pPr>
                      <w:spacing w:before="1"/>
                      <w:ind w:left="2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color w:val="6D7892"/>
                        <w:sz w:val="20"/>
                      </w:rPr>
                      <w:t>Dirección</w:t>
                    </w:r>
                    <w:r>
                      <w:rPr>
                        <w:color w:val="6D7892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6D7892"/>
                        <w:sz w:val="20"/>
                      </w:rPr>
                      <w:t>de</w:t>
                    </w:r>
                    <w:r>
                      <w:rPr>
                        <w:color w:val="6D7892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6D7892"/>
                        <w:sz w:val="20"/>
                      </w:rPr>
                      <w:t>Comunicación</w:t>
                    </w:r>
                    <w:r>
                      <w:rPr>
                        <w:color w:val="6D7892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6D7892"/>
                        <w:sz w:val="20"/>
                      </w:rPr>
                      <w:t>Corporativa email:</w:t>
                    </w:r>
                    <w:r>
                      <w:rPr>
                        <w:color w:val="6D7892"/>
                        <w:spacing w:val="-14"/>
                        <w:sz w:val="20"/>
                      </w:rPr>
                      <w:t> </w:t>
                    </w:r>
                    <w:hyperlink r:id="rId2">
                      <w:r>
                        <w:rPr>
                          <w:color w:val="6D7892"/>
                          <w:sz w:val="20"/>
                        </w:rPr>
                        <w:t>prensatelefonica@telefonica.com</w:t>
                      </w:r>
                    </w:hyperlink>
                    <w:r>
                      <w:rPr>
                        <w:color w:val="6D7892"/>
                        <w:sz w:val="20"/>
                      </w:rPr>
                      <w:t> </w:t>
                    </w:r>
                    <w:r>
                      <w:rPr>
                        <w:color w:val="0066FF"/>
                        <w:spacing w:val="-2"/>
                        <w:sz w:val="20"/>
                      </w:rPr>
                      <w:t>telefonica.com/es/sala-comunicacion/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E787576" wp14:editId="5E3F0C7A">
              <wp:simplePos x="0" y="0"/>
              <wp:positionH relativeFrom="page">
                <wp:posOffset>6589521</wp:posOffset>
              </wp:positionH>
              <wp:positionV relativeFrom="page">
                <wp:posOffset>9958316</wp:posOffset>
              </wp:positionV>
              <wp:extent cx="1593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6D0B7" w14:textId="77777777" w:rsidR="006D11AD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6D789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D789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D7892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6D7892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6D789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8.859985pt;margin-top:784.119446pt;width:12.55pt;height:13.15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6D789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6D7892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6D7892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6D7892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6D789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33CE91A4" wp14:editId="16B61AF2">
              <wp:simplePos x="0" y="0"/>
              <wp:positionH relativeFrom="page">
                <wp:posOffset>241808</wp:posOffset>
              </wp:positionH>
              <wp:positionV relativeFrom="page">
                <wp:posOffset>10291816</wp:posOffset>
              </wp:positionV>
              <wp:extent cx="282130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30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4178A" w14:textId="77777777" w:rsidR="006D11AD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***Este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está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clasificado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como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PUBLICO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TELEFÓNICA.</w:t>
                          </w:r>
                        </w:p>
                        <w:p w14:paraId="4087D1BD" w14:textId="77777777" w:rsidR="006D11AD" w:rsidRDefault="0000000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***This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document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is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classified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PUBLIC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TELEFÓNICA.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9.040001pt;margin-top:810.379272pt;width:222.15pt;height:17.850pt;mso-position-horizontal-relative:page;mso-position-vertical-relative:page;z-index:-157813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***Este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documento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está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clasificado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como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PUBLICO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TELEFÓNICA.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***This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document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is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classified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PUBLIC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TELEFÓNICA.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B877" w14:textId="77777777" w:rsidR="005D587C" w:rsidRDefault="005D587C">
      <w:r>
        <w:separator/>
      </w:r>
    </w:p>
  </w:footnote>
  <w:footnote w:type="continuationSeparator" w:id="0">
    <w:p w14:paraId="55173508" w14:textId="77777777" w:rsidR="005D587C" w:rsidRDefault="005D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1E1F"/>
    <w:multiLevelType w:val="hybridMultilevel"/>
    <w:tmpl w:val="8A7A14F6"/>
    <w:lvl w:ilvl="0" w:tplc="93CA18DC">
      <w:numFmt w:val="bullet"/>
      <w:lvlText w:val="●"/>
      <w:lvlJc w:val="left"/>
      <w:pPr>
        <w:ind w:left="85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6D7892"/>
        <w:spacing w:val="0"/>
        <w:w w:val="100"/>
        <w:sz w:val="22"/>
        <w:szCs w:val="22"/>
        <w:lang w:val="es-ES" w:eastAsia="en-US" w:bidi="ar-SA"/>
      </w:rPr>
    </w:lvl>
    <w:lvl w:ilvl="1" w:tplc="F7A62AB2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2" w:tplc="5EFAFB74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5216A45E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527250CE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 w:tplc="60D09CC2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274027BA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6FF6BBE2">
      <w:numFmt w:val="bullet"/>
      <w:lvlText w:val="•"/>
      <w:lvlJc w:val="left"/>
      <w:pPr>
        <w:ind w:left="7199" w:hanging="360"/>
      </w:pPr>
      <w:rPr>
        <w:rFonts w:hint="default"/>
        <w:lang w:val="es-ES" w:eastAsia="en-US" w:bidi="ar-SA"/>
      </w:rPr>
    </w:lvl>
    <w:lvl w:ilvl="8" w:tplc="45B21EBE"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num w:numId="1" w16cid:durableId="106457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1AD"/>
    <w:rsid w:val="000114E8"/>
    <w:rsid w:val="005D587C"/>
    <w:rsid w:val="006700B6"/>
    <w:rsid w:val="006D11AD"/>
    <w:rsid w:val="00751EDF"/>
    <w:rsid w:val="007B7EBD"/>
    <w:rsid w:val="009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54C44"/>
  <w15:docId w15:val="{38BE10B7-9BF7-BD46-9031-BB587254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38"/>
      <w:ind w:left="143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line="274" w:lineRule="exact"/>
      <w:ind w:left="14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54" w:right="4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20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telefonica@telefonica.com" TargetMode="External"/><Relationship Id="rId1" Type="http://schemas.openxmlformats.org/officeDocument/2006/relationships/hyperlink" Target="mailto:prensatelefonica@telefo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3796</Characters>
  <Application>Microsoft Office Word</Application>
  <DocSecurity>0</DocSecurity>
  <Lines>75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ORELLANA SANZ</dc:creator>
  <cp:lastModifiedBy>María José Jorge Fernández</cp:lastModifiedBy>
  <cp:revision>3</cp:revision>
  <dcterms:created xsi:type="dcterms:W3CDTF">2026-07-09T10:46:00Z</dcterms:created>
  <dcterms:modified xsi:type="dcterms:W3CDTF">2026-07-09T11:10:00Z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2026-07-09T00:00:00Z</vt:filetime>
  </property>
  <property fmtid="{D5CDD505-2E9C-101B-9397-08002B2CF9AE}" pid="6" name="MSIP_Label_e65bd4d2-aa7c-445f-9ef8-222ebb1d2b43_Enabled">
    <vt:lpwstr>True</vt:lpwstr>
  </property>
  <property fmtid="{D5CDD505-2E9C-101B-9397-08002B2CF9AE}" pid="7" name="MSIP_Label_e65bd4d2-aa7c-445f-9ef8-222ebb1d2b43_Method">
    <vt:lpwstr>Privileged</vt:lpwstr>
  </property>
  <property fmtid="{D5CDD505-2E9C-101B-9397-08002B2CF9AE}" pid="8" name="MSIP_Label_e65bd4d2-aa7c-445f-9ef8-222ebb1d2b43_SiteId">
    <vt:lpwstr>9744600e-3e04-492e-baa1-25ec245c6f10</vt:lpwstr>
  </property>
  <property fmtid="{D5CDD505-2E9C-101B-9397-08002B2CF9AE}" pid="9" name="Producer">
    <vt:lpwstr>Microsoft® Word para Microsoft 365</vt:lpwstr>
  </property>
</Properties>
</file>