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50AD" w14:textId="77777777" w:rsidR="00D56F78" w:rsidRDefault="00D56F78">
      <w:pPr>
        <w:pStyle w:val="Textoindependiente"/>
        <w:rPr>
          <w:rFonts w:ascii="Times New Roman"/>
          <w:sz w:val="20"/>
        </w:rPr>
      </w:pPr>
    </w:p>
    <w:p w14:paraId="1194EB98" w14:textId="77777777" w:rsidR="00D56F78" w:rsidRDefault="00475B1D">
      <w:pPr>
        <w:pStyle w:val="Textoindependiente"/>
        <w:ind w:left="104"/>
        <w:rPr>
          <w:rFonts w:ascii="Times New Roman"/>
          <w:sz w:val="20"/>
        </w:rPr>
      </w:pPr>
      <w:r>
        <w:rPr>
          <w:rFonts w:ascii="Times New Roman"/>
          <w:noProof/>
          <w:sz w:val="20"/>
        </w:rPr>
        <mc:AlternateContent>
          <mc:Choice Requires="wps">
            <w:drawing>
              <wp:inline distT="0" distB="0" distL="0" distR="0" wp14:anchorId="63C7F850" wp14:editId="64AC9C3B">
                <wp:extent cx="5905500" cy="207645"/>
                <wp:effectExtent l="0" t="0" r="19050" b="2095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7645"/>
                        </a:xfrm>
                        <a:prstGeom prst="rect">
                          <a:avLst/>
                        </a:prstGeom>
                        <a:ln w="6095">
                          <a:solidFill>
                            <a:srgbClr val="000000"/>
                          </a:solidFill>
                          <a:prstDash val="solid"/>
                        </a:ln>
                      </wps:spPr>
                      <wps:txbx>
                        <w:txbxContent>
                          <w:p w14:paraId="4B1BBCBE" w14:textId="4FAD1FCE" w:rsidR="00D56F78" w:rsidRDefault="00A73D59">
                            <w:pPr>
                              <w:spacing w:before="18"/>
                              <w:ind w:right="3"/>
                              <w:jc w:val="center"/>
                              <w:rPr>
                                <w:b/>
                                <w:sz w:val="20"/>
                              </w:rPr>
                            </w:pPr>
                            <w:r>
                              <w:rPr>
                                <w:b/>
                                <w:spacing w:val="-2"/>
                                <w:sz w:val="20"/>
                              </w:rPr>
                              <w:t>PRESS RELEASE</w:t>
                            </w:r>
                          </w:p>
                        </w:txbxContent>
                      </wps:txbx>
                      <wps:bodyPr wrap="square" lIns="0" tIns="0" rIns="0" bIns="0" rtlCol="0">
                        <a:noAutofit/>
                      </wps:bodyPr>
                    </wps:wsp>
                  </a:graphicData>
                </a:graphic>
              </wp:inline>
            </w:drawing>
          </mc:Choice>
          <mc:Fallback>
            <w:pict>
              <v:shapetype w14:anchorId="63C7F850" id="_x0000_t202" coordsize="21600,21600" o:spt="202" path="m,l,21600r21600,l21600,xe">
                <v:stroke joinstyle="miter"/>
                <v:path gradientshapeok="t" o:connecttype="rect"/>
              </v:shapetype>
              <v:shape id="Textbox 2" o:spid="_x0000_s1026" type="#_x0000_t202" style="width:46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" filled="f" strokeweight=".16931mm">
                <v:path arrowok="t"/>
                <v:textbox inset="0,0,0,0">
                  <w:txbxContent>
                    <w:p w14:paraId="4B1BBCBE" w14:textId="4FAD1FCE" w:rsidR="00D56F78" w:rsidRDefault="00A73D59">
                      <w:pPr>
                        <w:spacing w:before="18"/>
                        <w:ind w:right="3"/>
                        <w:jc w:val="center"/>
                        <w:rPr>
                          <w:b/>
                          <w:sz w:val="20"/>
                        </w:rPr>
                      </w:pPr>
                      <w:r>
                        <w:rPr>
                          <w:b/>
                          <w:spacing w:val="-2"/>
                          <w:sz w:val="20"/>
                        </w:rPr>
                        <w:t>PRESS RELEASE</w:t>
                      </w:r>
                    </w:p>
                  </w:txbxContent>
                </v:textbox>
                <w10:anchorlock/>
              </v:shape>
            </w:pict>
          </mc:Fallback>
        </mc:AlternateContent>
      </w:r>
    </w:p>
    <w:p w14:paraId="02248F95" w14:textId="77777777" w:rsidR="00D56F78" w:rsidRDefault="00D56F78">
      <w:pPr>
        <w:pStyle w:val="Textoindependiente"/>
        <w:rPr>
          <w:rFonts w:ascii="Times New Roman"/>
          <w:sz w:val="36"/>
        </w:rPr>
      </w:pPr>
    </w:p>
    <w:p w14:paraId="6CD13A41" w14:textId="1E3185AB" w:rsidR="00A73D59" w:rsidRPr="00A73D59" w:rsidRDefault="00A73D59" w:rsidP="00DC2058">
      <w:pPr>
        <w:pStyle w:val="Ttulo"/>
        <w:spacing w:line="276" w:lineRule="auto"/>
        <w:jc w:val="center"/>
        <w:rPr>
          <w:lang w:val="en-GB"/>
        </w:rPr>
      </w:pPr>
      <w:r w:rsidRPr="004D68CA">
        <w:rPr>
          <w:lang w:val="en-GB"/>
        </w:rPr>
        <w:t>Nueva Pescanova Group achieves a 73% rise in EBITDA for the first half of the year</w:t>
      </w:r>
    </w:p>
    <w:p w14:paraId="05A50FB4" w14:textId="77777777" w:rsidR="00D56F78" w:rsidRPr="00A73D59" w:rsidRDefault="00D56F78">
      <w:pPr>
        <w:pStyle w:val="Textoindependiente"/>
        <w:spacing w:before="51"/>
        <w:rPr>
          <w:b/>
          <w:sz w:val="36"/>
          <w:lang w:val="en-GB"/>
        </w:rPr>
      </w:pPr>
    </w:p>
    <w:p w14:paraId="7A9C672C" w14:textId="59B7BB21" w:rsidR="00A73D59" w:rsidRPr="004D68CA" w:rsidRDefault="00A73D59" w:rsidP="00A73D59">
      <w:pPr>
        <w:pStyle w:val="Prrafodelista"/>
        <w:numPr>
          <w:ilvl w:val="0"/>
          <w:numId w:val="1"/>
        </w:numPr>
        <w:tabs>
          <w:tab w:val="left" w:pos="932"/>
          <w:tab w:val="left" w:pos="934"/>
        </w:tabs>
        <w:spacing w:before="202" w:line="276" w:lineRule="auto"/>
        <w:ind w:right="227"/>
        <w:jc w:val="both"/>
        <w:rPr>
          <w:b/>
          <w:sz w:val="24"/>
          <w:lang w:val="en-GB"/>
        </w:rPr>
      </w:pPr>
      <w:r w:rsidRPr="004D68CA">
        <w:rPr>
          <w:b/>
          <w:bCs/>
          <w:sz w:val="24"/>
          <w:lang w:val="en-GB"/>
        </w:rPr>
        <w:t>EBITDA rises to €27 million and sales increase by 7.9% to €490.9 million</w:t>
      </w:r>
    </w:p>
    <w:p w14:paraId="343DB8D7" w14:textId="32625075" w:rsidR="00A73D59" w:rsidRPr="004D68CA" w:rsidRDefault="00023738" w:rsidP="00256B99">
      <w:pPr>
        <w:pStyle w:val="Prrafodelista"/>
        <w:numPr>
          <w:ilvl w:val="0"/>
          <w:numId w:val="1"/>
        </w:numPr>
        <w:tabs>
          <w:tab w:val="left" w:pos="932"/>
          <w:tab w:val="left" w:pos="934"/>
        </w:tabs>
        <w:spacing w:before="202" w:line="276" w:lineRule="auto"/>
        <w:ind w:right="227"/>
        <w:jc w:val="both"/>
        <w:rPr>
          <w:b/>
          <w:sz w:val="24"/>
          <w:lang w:val="en-GB"/>
        </w:rPr>
      </w:pPr>
      <w:r w:rsidRPr="004D68CA">
        <w:rPr>
          <w:b/>
          <w:sz w:val="24"/>
          <w:lang w:val="en-GB"/>
        </w:rPr>
        <w:t xml:space="preserve">Profitability </w:t>
      </w:r>
      <w:r w:rsidRPr="004123D2">
        <w:rPr>
          <w:b/>
          <w:sz w:val="24"/>
          <w:lang w:val="en-GB"/>
        </w:rPr>
        <w:t>improves</w:t>
      </w:r>
      <w:r w:rsidRPr="004D68CA">
        <w:rPr>
          <w:b/>
          <w:sz w:val="24"/>
          <w:lang w:val="en-GB"/>
        </w:rPr>
        <w:t>, with losses down 65% thanks to operational efficiency measures and a renewed commercial strategy</w:t>
      </w:r>
    </w:p>
    <w:p w14:paraId="4500EE6A" w14:textId="4E55E933" w:rsidR="0027732D" w:rsidRPr="004D68CA" w:rsidRDefault="00CB377A" w:rsidP="007A1D9C">
      <w:pPr>
        <w:pStyle w:val="Textoindependiente"/>
        <w:numPr>
          <w:ilvl w:val="0"/>
          <w:numId w:val="1"/>
        </w:numPr>
        <w:spacing w:before="202" w:line="276" w:lineRule="auto"/>
        <w:ind w:right="227"/>
        <w:jc w:val="both"/>
        <w:rPr>
          <w:b/>
          <w:lang w:val="en-GB"/>
        </w:rPr>
      </w:pPr>
      <w:r w:rsidRPr="004D68CA">
        <w:rPr>
          <w:b/>
          <w:lang w:val="en-GB"/>
        </w:rPr>
        <w:t xml:space="preserve">The company maintains its EBITDA growth forecasts to the end of the year, thus </w:t>
      </w:r>
      <w:proofErr w:type="gramStart"/>
      <w:r w:rsidRPr="004D68CA">
        <w:rPr>
          <w:b/>
          <w:lang w:val="en-GB"/>
        </w:rPr>
        <w:t>continuing on</w:t>
      </w:r>
      <w:proofErr w:type="gramEnd"/>
      <w:r w:rsidRPr="004D68CA">
        <w:rPr>
          <w:b/>
          <w:lang w:val="en-GB"/>
        </w:rPr>
        <w:t xml:space="preserve"> track for a positive net result</w:t>
      </w:r>
    </w:p>
    <w:p w14:paraId="1C4EA665" w14:textId="338C5E95" w:rsidR="007A1D9C" w:rsidRPr="00025AB0" w:rsidRDefault="007A1D9C" w:rsidP="00DA0383">
      <w:pPr>
        <w:pStyle w:val="Textoindependiente"/>
        <w:spacing w:before="202" w:line="276" w:lineRule="auto"/>
        <w:ind w:left="222" w:right="227"/>
        <w:jc w:val="both"/>
        <w:rPr>
          <w:lang w:val="en-US"/>
        </w:rPr>
      </w:pPr>
      <w:r w:rsidRPr="00CB223E">
        <w:rPr>
          <w:b/>
          <w:bCs/>
          <w:lang w:val="en-GB"/>
        </w:rPr>
        <w:t>Vigo, 23 July 2025</w:t>
      </w:r>
      <w:r w:rsidRPr="00CB223E">
        <w:rPr>
          <w:lang w:val="en-GB"/>
        </w:rPr>
        <w:t xml:space="preserve"> – The Nueva Pescanova Group’s results for the first half of the year confirm that the recovery is </w:t>
      </w:r>
      <w:r w:rsidR="00023738" w:rsidRPr="00CB223E">
        <w:rPr>
          <w:lang w:val="en-GB"/>
        </w:rPr>
        <w:t>consolidat</w:t>
      </w:r>
      <w:r w:rsidR="00CB2578" w:rsidRPr="00CB223E">
        <w:rPr>
          <w:lang w:val="en-GB"/>
        </w:rPr>
        <w:t>ing</w:t>
      </w:r>
      <w:r w:rsidRPr="00CB223E">
        <w:rPr>
          <w:lang w:val="en-GB"/>
        </w:rPr>
        <w:t xml:space="preserve">. EBITDA for the </w:t>
      </w:r>
      <w:r w:rsidR="00CB2578" w:rsidRPr="00CB223E">
        <w:rPr>
          <w:lang w:val="en-GB"/>
        </w:rPr>
        <w:t xml:space="preserve">financial </w:t>
      </w:r>
      <w:r w:rsidRPr="00CB223E">
        <w:rPr>
          <w:lang w:val="en-GB"/>
        </w:rPr>
        <w:t xml:space="preserve">period </w:t>
      </w:r>
      <w:r w:rsidR="00023738" w:rsidRPr="00CB223E">
        <w:rPr>
          <w:lang w:val="en-GB"/>
        </w:rPr>
        <w:t>increased</w:t>
      </w:r>
      <w:r w:rsidRPr="00CB223E">
        <w:rPr>
          <w:lang w:val="en-GB"/>
        </w:rPr>
        <w:t xml:space="preserve"> by 73% to €27 million, compared to €15.6 million in the same </w:t>
      </w:r>
      <w:r w:rsidR="00CB2578" w:rsidRPr="00CB223E">
        <w:rPr>
          <w:lang w:val="en-GB"/>
        </w:rPr>
        <w:t>half of the previous</w:t>
      </w:r>
      <w:r w:rsidRPr="00CB223E">
        <w:rPr>
          <w:lang w:val="en-GB"/>
        </w:rPr>
        <w:t xml:space="preserve"> year. Losses were reduced by 65%</w:t>
      </w:r>
      <w:r w:rsidR="00023738" w:rsidRPr="00CB223E">
        <w:rPr>
          <w:lang w:val="en-GB"/>
        </w:rPr>
        <w:t>.</w:t>
      </w:r>
    </w:p>
    <w:p w14:paraId="7D9588FF" w14:textId="475BA068" w:rsidR="009B52E3" w:rsidRPr="00CB223E" w:rsidRDefault="009B52E3" w:rsidP="00DA0383">
      <w:pPr>
        <w:pStyle w:val="Textoindependiente"/>
        <w:spacing w:before="202" w:line="276" w:lineRule="auto"/>
        <w:ind w:left="222" w:right="227"/>
        <w:jc w:val="both"/>
        <w:rPr>
          <w:lang w:val="en-GB"/>
        </w:rPr>
      </w:pPr>
      <w:r w:rsidRPr="00CB223E">
        <w:rPr>
          <w:lang w:val="en-GB"/>
        </w:rPr>
        <w:t>Similarly, the positive sales trend continue</w:t>
      </w:r>
      <w:r w:rsidR="00C07AEC">
        <w:rPr>
          <w:lang w:val="en-GB"/>
        </w:rPr>
        <w:t>s</w:t>
      </w:r>
      <w:r w:rsidRPr="00CB223E">
        <w:rPr>
          <w:lang w:val="en-GB"/>
        </w:rPr>
        <w:t xml:space="preserve"> with revenues rising by 7.9% from January to June, reaching €490.9 million.</w:t>
      </w:r>
    </w:p>
    <w:p w14:paraId="5CC6FD66" w14:textId="4028C759" w:rsidR="009B52E3" w:rsidRPr="00A86800" w:rsidRDefault="009B52E3" w:rsidP="00F7412B">
      <w:pPr>
        <w:pStyle w:val="Textoindependiente"/>
        <w:spacing w:before="202" w:line="276" w:lineRule="auto"/>
        <w:ind w:left="222" w:right="227"/>
        <w:jc w:val="both"/>
        <w:rPr>
          <w:lang w:val="en-GB"/>
        </w:rPr>
      </w:pPr>
      <w:r w:rsidRPr="00CB223E">
        <w:rPr>
          <w:lang w:val="en-GB"/>
        </w:rPr>
        <w:t>The improvement in results is primarily driven by operational efficiency measures focused on enhancing the profitability of all activities and controlling costs, along with the renewal of the commercial strategy to prioritise higher-value operations. These initiatives, made possible by the commitment and efforts of the entire organisation, have been key to this positive development.</w:t>
      </w:r>
    </w:p>
    <w:p w14:paraId="0F43E14A" w14:textId="27FB34F8" w:rsidR="00CB2578" w:rsidRDefault="00CB2578" w:rsidP="00231974">
      <w:pPr>
        <w:pStyle w:val="Textoindependiente"/>
        <w:spacing w:before="202" w:line="276" w:lineRule="auto"/>
        <w:ind w:left="222" w:right="227"/>
        <w:jc w:val="both"/>
        <w:rPr>
          <w:lang w:val="en-GB"/>
        </w:rPr>
      </w:pPr>
      <w:r w:rsidRPr="00CB223E">
        <w:rPr>
          <w:lang w:val="en-GB"/>
        </w:rPr>
        <w:t>The half-year results confirm the company's forecasts, meaning that the Group remains on track to achieve a positive net result.</w:t>
      </w:r>
    </w:p>
    <w:p w14:paraId="08316A31" w14:textId="77777777" w:rsidR="00B227F3" w:rsidRDefault="009B52E3" w:rsidP="00B227F3">
      <w:pPr>
        <w:pStyle w:val="Textoindependiente"/>
        <w:spacing w:before="202" w:line="276" w:lineRule="auto"/>
        <w:ind w:left="222" w:right="227"/>
        <w:jc w:val="both"/>
        <w:rPr>
          <w:lang w:val="en-GB"/>
        </w:rPr>
      </w:pPr>
      <w:r w:rsidRPr="00CB223E">
        <w:rPr>
          <w:lang w:val="en-GB"/>
        </w:rPr>
        <w:t>Overall, the company continues to meet its targets and advance in its recovery, maintaining its strategy to strengthen its financial position and consolidate improvements in the coming months.</w:t>
      </w:r>
    </w:p>
    <w:p w14:paraId="2CE9EF84" w14:textId="77777777" w:rsidR="00B227F3" w:rsidRDefault="00B227F3" w:rsidP="00B227F3">
      <w:pPr>
        <w:pStyle w:val="Textoindependiente"/>
        <w:spacing w:before="202" w:line="276" w:lineRule="auto"/>
        <w:ind w:left="222" w:right="227"/>
        <w:jc w:val="both"/>
        <w:rPr>
          <w:b/>
          <w:bCs/>
          <w:lang w:val="en-GB"/>
        </w:rPr>
      </w:pPr>
      <w:r w:rsidRPr="00124396">
        <w:rPr>
          <w:b/>
          <w:bCs/>
          <w:lang w:val="en-GB"/>
        </w:rPr>
        <w:t>About the Nueva Pescanova Group</w:t>
      </w:r>
    </w:p>
    <w:p w14:paraId="0D67AD57" w14:textId="78A37A0C" w:rsidR="00B227F3" w:rsidRDefault="00B227F3" w:rsidP="00B227F3">
      <w:pPr>
        <w:pStyle w:val="Textoindependiente"/>
        <w:spacing w:before="202" w:line="276" w:lineRule="auto"/>
        <w:ind w:left="222" w:right="227"/>
        <w:jc w:val="both"/>
        <w:rPr>
          <w:lang w:val="en-GB"/>
        </w:rPr>
      </w:pPr>
      <w:r w:rsidRPr="00124396">
        <w:rPr>
          <w:lang w:val="en-GB"/>
        </w:rPr>
        <w:t>The Nueva Pescanova Group is a Spanish company specialising in the fishing, farming, processing, and marketing of fresh, chilled, and frozen seafood products.</w:t>
      </w:r>
    </w:p>
    <w:p w14:paraId="06575517" w14:textId="021226D0" w:rsidR="00B227F3" w:rsidRPr="00574073" w:rsidRDefault="00B227F3" w:rsidP="00B227F3">
      <w:pPr>
        <w:pStyle w:val="Textoindependiente"/>
        <w:spacing w:before="202" w:line="276" w:lineRule="auto"/>
        <w:ind w:left="222" w:right="227"/>
        <w:jc w:val="both"/>
        <w:rPr>
          <w:lang w:val="en-GB"/>
        </w:rPr>
      </w:pPr>
      <w:r w:rsidRPr="00124396">
        <w:rPr>
          <w:lang w:val="en-GB"/>
        </w:rPr>
        <w:t>It employs around 10,000 people and operates in 17 countries, selling its products in more than 80 countries around the world.</w:t>
      </w:r>
    </w:p>
    <w:p w14:paraId="5F68088E" w14:textId="77777777" w:rsidR="00B227F3" w:rsidRPr="00574073" w:rsidRDefault="00B227F3" w:rsidP="00B227F3">
      <w:pPr>
        <w:adjustRightInd w:val="0"/>
        <w:rPr>
          <w:color w:val="000000"/>
          <w:sz w:val="20"/>
          <w:szCs w:val="20"/>
          <w:lang w:val="en-GB"/>
        </w:rPr>
      </w:pPr>
    </w:p>
    <w:p w14:paraId="351D0814" w14:textId="77777777" w:rsidR="00B227F3" w:rsidRDefault="00B227F3" w:rsidP="00B227F3">
      <w:pPr>
        <w:pBdr>
          <w:top w:val="nil"/>
          <w:left w:val="nil"/>
          <w:bottom w:val="nil"/>
          <w:right w:val="nil"/>
          <w:between w:val="nil"/>
        </w:pBdr>
        <w:jc w:val="both"/>
        <w:rPr>
          <w:b/>
          <w:color w:val="000000"/>
          <w:sz w:val="20"/>
          <w:szCs w:val="20"/>
          <w:lang w:val="en-GB"/>
        </w:rPr>
      </w:pPr>
      <w:r w:rsidRPr="00574073">
        <w:rPr>
          <w:b/>
          <w:color w:val="000000"/>
          <w:sz w:val="20"/>
          <w:szCs w:val="20"/>
          <w:lang w:val="en-GB"/>
        </w:rPr>
        <w:t>For more information:</w:t>
      </w:r>
    </w:p>
    <w:p w14:paraId="721642F6" w14:textId="77777777" w:rsidR="00F117EC" w:rsidRPr="00574073" w:rsidRDefault="00F117EC" w:rsidP="00B227F3">
      <w:pPr>
        <w:pBdr>
          <w:top w:val="nil"/>
          <w:left w:val="nil"/>
          <w:bottom w:val="nil"/>
          <w:right w:val="nil"/>
          <w:between w:val="nil"/>
        </w:pBdr>
        <w:jc w:val="both"/>
        <w:rPr>
          <w:b/>
          <w:color w:val="000000"/>
          <w:sz w:val="20"/>
          <w:szCs w:val="20"/>
          <w:lang w:val="en-GB"/>
        </w:rPr>
      </w:pPr>
    </w:p>
    <w:p w14:paraId="35CBAE99" w14:textId="5D71A9CA" w:rsidR="00B227F3" w:rsidRPr="00574073" w:rsidRDefault="00B227F3" w:rsidP="00B227F3">
      <w:pPr>
        <w:jc w:val="both"/>
        <w:rPr>
          <w:b/>
          <w:color w:val="000000"/>
          <w:sz w:val="20"/>
          <w:szCs w:val="20"/>
          <w:lang w:val="en-GB"/>
        </w:rPr>
      </w:pPr>
      <w:proofErr w:type="spellStart"/>
      <w:r w:rsidRPr="00574073">
        <w:rPr>
          <w:b/>
          <w:color w:val="000000"/>
          <w:sz w:val="20"/>
          <w:szCs w:val="20"/>
          <w:lang w:val="en-GB"/>
        </w:rPr>
        <w:t>Atlántica</w:t>
      </w:r>
      <w:proofErr w:type="spellEnd"/>
      <w:r w:rsidRPr="00574073">
        <w:rPr>
          <w:b/>
          <w:color w:val="000000"/>
          <w:sz w:val="20"/>
          <w:szCs w:val="20"/>
          <w:lang w:val="en-GB"/>
        </w:rPr>
        <w:t xml:space="preserve"> / Report Communication</w:t>
      </w:r>
      <w:r w:rsidRPr="00574073">
        <w:rPr>
          <w:b/>
          <w:color w:val="000000"/>
          <w:sz w:val="20"/>
          <w:szCs w:val="20"/>
          <w:lang w:val="en-GB"/>
        </w:rPr>
        <w:tab/>
      </w:r>
    </w:p>
    <w:p w14:paraId="61F5FA6C" w14:textId="150B96C3" w:rsidR="00B227F3" w:rsidRPr="008E4850" w:rsidRDefault="00B227F3" w:rsidP="00B227F3">
      <w:pPr>
        <w:jc w:val="both"/>
        <w:rPr>
          <w:color w:val="000000"/>
          <w:sz w:val="20"/>
          <w:szCs w:val="20"/>
        </w:rPr>
      </w:pPr>
      <w:r w:rsidRPr="008E4850">
        <w:rPr>
          <w:color w:val="000000"/>
          <w:sz w:val="20"/>
          <w:szCs w:val="20"/>
        </w:rPr>
        <w:t xml:space="preserve">Tel.: </w:t>
      </w:r>
      <w:r>
        <w:rPr>
          <w:color w:val="000000"/>
          <w:sz w:val="20"/>
          <w:szCs w:val="20"/>
        </w:rPr>
        <w:t xml:space="preserve">(+34) </w:t>
      </w:r>
      <w:r w:rsidRPr="008E4850">
        <w:rPr>
          <w:color w:val="000000"/>
          <w:sz w:val="20"/>
          <w:szCs w:val="20"/>
        </w:rPr>
        <w:t xml:space="preserve">986 260 680 / 609 036 730                                                      </w:t>
      </w:r>
      <w:r w:rsidRPr="008E4850">
        <w:rPr>
          <w:color w:val="000000"/>
          <w:sz w:val="20"/>
          <w:szCs w:val="20"/>
        </w:rPr>
        <w:tab/>
      </w:r>
    </w:p>
    <w:p w14:paraId="3494EF15" w14:textId="404525E7" w:rsidR="00B227F3" w:rsidRPr="008E4850" w:rsidRDefault="00B227F3" w:rsidP="00B227F3">
      <w:pPr>
        <w:jc w:val="both"/>
      </w:pPr>
      <w:r w:rsidRPr="008E4850">
        <w:rPr>
          <w:color w:val="0000FF"/>
          <w:sz w:val="20"/>
          <w:szCs w:val="20"/>
          <w:u w:val="single"/>
        </w:rPr>
        <w:t>prensa@nuevapescanova.com</w:t>
      </w:r>
      <w:r w:rsidRPr="008E4850">
        <w:rPr>
          <w:color w:val="0000FF"/>
          <w:sz w:val="20"/>
          <w:szCs w:val="20"/>
        </w:rPr>
        <w:t xml:space="preserve"> </w:t>
      </w:r>
      <w:r w:rsidRPr="008E4850">
        <w:rPr>
          <w:color w:val="000000"/>
        </w:rPr>
        <w:tab/>
      </w:r>
      <w:r w:rsidRPr="008E4850">
        <w:rPr>
          <w:color w:val="0000FF"/>
          <w:sz w:val="20"/>
          <w:szCs w:val="20"/>
        </w:rPr>
        <w:t xml:space="preserve">                        </w:t>
      </w:r>
      <w:r w:rsidRPr="008E4850">
        <w:rPr>
          <w:color w:val="000000"/>
        </w:rPr>
        <w:tab/>
        <w:t xml:space="preserve">    </w:t>
      </w:r>
    </w:p>
    <w:p w14:paraId="5ECA9915" w14:textId="77777777" w:rsidR="00613783" w:rsidRPr="00B227F3" w:rsidRDefault="00613783" w:rsidP="007064FE">
      <w:pPr>
        <w:spacing w:before="1"/>
        <w:ind w:left="222"/>
        <w:jc w:val="both"/>
        <w:rPr>
          <w:b/>
          <w:sz w:val="24"/>
        </w:rPr>
      </w:pPr>
    </w:p>
    <w:sectPr w:rsidR="00613783" w:rsidRPr="00B227F3" w:rsidSect="00CA735B">
      <w:headerReference w:type="even" r:id="rId10"/>
      <w:headerReference w:type="default" r:id="rId11"/>
      <w:footerReference w:type="even" r:id="rId12"/>
      <w:footerReference w:type="default" r:id="rId13"/>
      <w:headerReference w:type="first" r:id="rId14"/>
      <w:footerReference w:type="first" r:id="rId15"/>
      <w:pgSz w:w="11910" w:h="16840"/>
      <w:pgMar w:top="2080" w:right="900" w:bottom="1276" w:left="1480" w:header="11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C5A3" w14:textId="77777777" w:rsidR="00A3117F" w:rsidRDefault="00A3117F">
      <w:r>
        <w:separator/>
      </w:r>
    </w:p>
  </w:endnote>
  <w:endnote w:type="continuationSeparator" w:id="0">
    <w:p w14:paraId="5C2EE52C" w14:textId="77777777" w:rsidR="00A3117F" w:rsidRDefault="00A3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7C8" w14:textId="77777777" w:rsidR="004D75BD" w:rsidRDefault="004D75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7482" w14:textId="77777777" w:rsidR="004D75BD" w:rsidRDefault="004D75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B383" w14:textId="77777777" w:rsidR="004D75BD" w:rsidRDefault="004D75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07A9" w14:textId="77777777" w:rsidR="00A3117F" w:rsidRDefault="00A3117F">
      <w:r>
        <w:separator/>
      </w:r>
    </w:p>
  </w:footnote>
  <w:footnote w:type="continuationSeparator" w:id="0">
    <w:p w14:paraId="0CFABA48" w14:textId="77777777" w:rsidR="00A3117F" w:rsidRDefault="00A3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7938" w14:textId="77777777" w:rsidR="004D75BD" w:rsidRDefault="004D75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C0ED" w14:textId="77777777" w:rsidR="00D56F78" w:rsidRDefault="00475B1D">
    <w:pPr>
      <w:pStyle w:val="Textoindependiente"/>
      <w:spacing w:line="14" w:lineRule="auto"/>
      <w:rPr>
        <w:sz w:val="20"/>
      </w:rPr>
    </w:pPr>
    <w:r>
      <w:rPr>
        <w:noProof/>
      </w:rPr>
      <w:drawing>
        <wp:anchor distT="0" distB="0" distL="0" distR="0" simplePos="0" relativeHeight="251658240" behindDoc="1" locked="0" layoutInCell="1" allowOverlap="1" wp14:anchorId="63C7F853" wp14:editId="27CB84A3">
          <wp:simplePos x="0" y="0"/>
          <wp:positionH relativeFrom="page">
            <wp:posOffset>3023870</wp:posOffset>
          </wp:positionH>
          <wp:positionV relativeFrom="page">
            <wp:posOffset>581660</wp:posOffset>
          </wp:positionV>
          <wp:extent cx="1757928" cy="585957"/>
          <wp:effectExtent l="0" t="0" r="0" b="0"/>
          <wp:wrapNone/>
          <wp:docPr id="19977237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7928" cy="5859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6FD1" w14:textId="77777777" w:rsidR="004D75BD" w:rsidRDefault="004D75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979"/>
    <w:multiLevelType w:val="hybridMultilevel"/>
    <w:tmpl w:val="97BEF0F6"/>
    <w:lvl w:ilvl="0" w:tplc="B15E1516">
      <w:numFmt w:val="bullet"/>
      <w:lvlText w:val="●"/>
      <w:lvlJc w:val="left"/>
      <w:pPr>
        <w:ind w:left="934" w:hanging="356"/>
      </w:pPr>
      <w:rPr>
        <w:rFonts w:ascii="Times New Roman" w:eastAsia="Times New Roman" w:hAnsi="Times New Roman" w:cs="Times New Roman" w:hint="default"/>
        <w:b w:val="0"/>
        <w:bCs w:val="0"/>
        <w:i w:val="0"/>
        <w:iCs w:val="0"/>
        <w:spacing w:val="0"/>
        <w:w w:val="100"/>
        <w:sz w:val="24"/>
        <w:szCs w:val="24"/>
        <w:lang w:val="es-ES" w:eastAsia="en-US" w:bidi="ar-SA"/>
      </w:rPr>
    </w:lvl>
    <w:lvl w:ilvl="1" w:tplc="531CF188">
      <w:numFmt w:val="bullet"/>
      <w:lvlText w:val="•"/>
      <w:lvlJc w:val="left"/>
      <w:pPr>
        <w:ind w:left="1798" w:hanging="356"/>
      </w:pPr>
      <w:rPr>
        <w:rFonts w:hint="default"/>
        <w:lang w:val="es-ES" w:eastAsia="en-US" w:bidi="ar-SA"/>
      </w:rPr>
    </w:lvl>
    <w:lvl w:ilvl="2" w:tplc="9C32C616">
      <w:numFmt w:val="bullet"/>
      <w:lvlText w:val="•"/>
      <w:lvlJc w:val="left"/>
      <w:pPr>
        <w:ind w:left="2657" w:hanging="356"/>
      </w:pPr>
      <w:rPr>
        <w:rFonts w:hint="default"/>
        <w:lang w:val="es-ES" w:eastAsia="en-US" w:bidi="ar-SA"/>
      </w:rPr>
    </w:lvl>
    <w:lvl w:ilvl="3" w:tplc="B8E6D85A">
      <w:numFmt w:val="bullet"/>
      <w:lvlText w:val="•"/>
      <w:lvlJc w:val="left"/>
      <w:pPr>
        <w:ind w:left="3515" w:hanging="356"/>
      </w:pPr>
      <w:rPr>
        <w:rFonts w:hint="default"/>
        <w:lang w:val="es-ES" w:eastAsia="en-US" w:bidi="ar-SA"/>
      </w:rPr>
    </w:lvl>
    <w:lvl w:ilvl="4" w:tplc="B6F6A852">
      <w:numFmt w:val="bullet"/>
      <w:lvlText w:val="•"/>
      <w:lvlJc w:val="left"/>
      <w:pPr>
        <w:ind w:left="4374" w:hanging="356"/>
      </w:pPr>
      <w:rPr>
        <w:rFonts w:hint="default"/>
        <w:lang w:val="es-ES" w:eastAsia="en-US" w:bidi="ar-SA"/>
      </w:rPr>
    </w:lvl>
    <w:lvl w:ilvl="5" w:tplc="E66A1386">
      <w:numFmt w:val="bullet"/>
      <w:lvlText w:val="•"/>
      <w:lvlJc w:val="left"/>
      <w:pPr>
        <w:ind w:left="5233" w:hanging="356"/>
      </w:pPr>
      <w:rPr>
        <w:rFonts w:hint="default"/>
        <w:lang w:val="es-ES" w:eastAsia="en-US" w:bidi="ar-SA"/>
      </w:rPr>
    </w:lvl>
    <w:lvl w:ilvl="6" w:tplc="55DEA4AC">
      <w:numFmt w:val="bullet"/>
      <w:lvlText w:val="•"/>
      <w:lvlJc w:val="left"/>
      <w:pPr>
        <w:ind w:left="6091" w:hanging="356"/>
      </w:pPr>
      <w:rPr>
        <w:rFonts w:hint="default"/>
        <w:lang w:val="es-ES" w:eastAsia="en-US" w:bidi="ar-SA"/>
      </w:rPr>
    </w:lvl>
    <w:lvl w:ilvl="7" w:tplc="F8265D54">
      <w:numFmt w:val="bullet"/>
      <w:lvlText w:val="•"/>
      <w:lvlJc w:val="left"/>
      <w:pPr>
        <w:ind w:left="6950" w:hanging="356"/>
      </w:pPr>
      <w:rPr>
        <w:rFonts w:hint="default"/>
        <w:lang w:val="es-ES" w:eastAsia="en-US" w:bidi="ar-SA"/>
      </w:rPr>
    </w:lvl>
    <w:lvl w:ilvl="8" w:tplc="F300D80E">
      <w:numFmt w:val="bullet"/>
      <w:lvlText w:val="•"/>
      <w:lvlJc w:val="left"/>
      <w:pPr>
        <w:ind w:left="7809" w:hanging="356"/>
      </w:pPr>
      <w:rPr>
        <w:rFonts w:hint="default"/>
        <w:lang w:val="es-ES" w:eastAsia="en-US" w:bidi="ar-SA"/>
      </w:rPr>
    </w:lvl>
  </w:abstractNum>
  <w:num w:numId="1" w16cid:durableId="140830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78"/>
    <w:rsid w:val="00023738"/>
    <w:rsid w:val="00025AB0"/>
    <w:rsid w:val="000323E0"/>
    <w:rsid w:val="00035938"/>
    <w:rsid w:val="00040512"/>
    <w:rsid w:val="00043263"/>
    <w:rsid w:val="000553A8"/>
    <w:rsid w:val="0007673E"/>
    <w:rsid w:val="00082CBA"/>
    <w:rsid w:val="00097B18"/>
    <w:rsid w:val="000B2C0E"/>
    <w:rsid w:val="000C0A4A"/>
    <w:rsid w:val="000C14D2"/>
    <w:rsid w:val="000C7D86"/>
    <w:rsid w:val="000D7893"/>
    <w:rsid w:val="000F4D3B"/>
    <w:rsid w:val="00102EAF"/>
    <w:rsid w:val="00112643"/>
    <w:rsid w:val="001169F2"/>
    <w:rsid w:val="0012404C"/>
    <w:rsid w:val="0014562E"/>
    <w:rsid w:val="00147CA9"/>
    <w:rsid w:val="001567E0"/>
    <w:rsid w:val="0016024B"/>
    <w:rsid w:val="001618D7"/>
    <w:rsid w:val="001659E3"/>
    <w:rsid w:val="00173A4E"/>
    <w:rsid w:val="00175274"/>
    <w:rsid w:val="001A632A"/>
    <w:rsid w:val="001B248C"/>
    <w:rsid w:val="001C1B0D"/>
    <w:rsid w:val="001E4762"/>
    <w:rsid w:val="001F7EB1"/>
    <w:rsid w:val="0021243C"/>
    <w:rsid w:val="0022183F"/>
    <w:rsid w:val="00231974"/>
    <w:rsid w:val="00232876"/>
    <w:rsid w:val="00242F25"/>
    <w:rsid w:val="002467C6"/>
    <w:rsid w:val="0025477F"/>
    <w:rsid w:val="00256B99"/>
    <w:rsid w:val="002601D6"/>
    <w:rsid w:val="0027732D"/>
    <w:rsid w:val="002821BD"/>
    <w:rsid w:val="00284BA5"/>
    <w:rsid w:val="002A05BD"/>
    <w:rsid w:val="002A138E"/>
    <w:rsid w:val="002A3B1C"/>
    <w:rsid w:val="002A5988"/>
    <w:rsid w:val="002A65AC"/>
    <w:rsid w:val="002B416D"/>
    <w:rsid w:val="002B7D9F"/>
    <w:rsid w:val="002D4023"/>
    <w:rsid w:val="002F05D9"/>
    <w:rsid w:val="003118D6"/>
    <w:rsid w:val="0033420D"/>
    <w:rsid w:val="00335ACD"/>
    <w:rsid w:val="00337F6B"/>
    <w:rsid w:val="00340644"/>
    <w:rsid w:val="003551C6"/>
    <w:rsid w:val="00377C5C"/>
    <w:rsid w:val="00383991"/>
    <w:rsid w:val="00390919"/>
    <w:rsid w:val="00390DEC"/>
    <w:rsid w:val="00391CCE"/>
    <w:rsid w:val="00394141"/>
    <w:rsid w:val="00397D4F"/>
    <w:rsid w:val="003E27FE"/>
    <w:rsid w:val="003F0067"/>
    <w:rsid w:val="003F4759"/>
    <w:rsid w:val="003F59BA"/>
    <w:rsid w:val="004123D2"/>
    <w:rsid w:val="00412650"/>
    <w:rsid w:val="00413108"/>
    <w:rsid w:val="00430A04"/>
    <w:rsid w:val="004328D7"/>
    <w:rsid w:val="00432DBA"/>
    <w:rsid w:val="00433D3F"/>
    <w:rsid w:val="00453AE0"/>
    <w:rsid w:val="00475B1D"/>
    <w:rsid w:val="00476698"/>
    <w:rsid w:val="00486FE7"/>
    <w:rsid w:val="00492277"/>
    <w:rsid w:val="004C3F8C"/>
    <w:rsid w:val="004D0B18"/>
    <w:rsid w:val="004D68CA"/>
    <w:rsid w:val="004D75BD"/>
    <w:rsid w:val="004F2AC3"/>
    <w:rsid w:val="005033B5"/>
    <w:rsid w:val="00510AC1"/>
    <w:rsid w:val="00523A83"/>
    <w:rsid w:val="00540D1A"/>
    <w:rsid w:val="00545F0D"/>
    <w:rsid w:val="00553256"/>
    <w:rsid w:val="00583404"/>
    <w:rsid w:val="005864AF"/>
    <w:rsid w:val="0059330E"/>
    <w:rsid w:val="005A6B44"/>
    <w:rsid w:val="005B0CE5"/>
    <w:rsid w:val="005C2C67"/>
    <w:rsid w:val="005D159F"/>
    <w:rsid w:val="005D46A8"/>
    <w:rsid w:val="005E1493"/>
    <w:rsid w:val="00601D00"/>
    <w:rsid w:val="00602D62"/>
    <w:rsid w:val="006072F2"/>
    <w:rsid w:val="00613783"/>
    <w:rsid w:val="006254CF"/>
    <w:rsid w:val="00664080"/>
    <w:rsid w:val="00664899"/>
    <w:rsid w:val="006652F0"/>
    <w:rsid w:val="006965D6"/>
    <w:rsid w:val="006B196F"/>
    <w:rsid w:val="006C0F9D"/>
    <w:rsid w:val="006C36FB"/>
    <w:rsid w:val="006C520D"/>
    <w:rsid w:val="006D0A9D"/>
    <w:rsid w:val="006D4D8B"/>
    <w:rsid w:val="006E5287"/>
    <w:rsid w:val="006F333E"/>
    <w:rsid w:val="006F58F5"/>
    <w:rsid w:val="007064FE"/>
    <w:rsid w:val="0071251C"/>
    <w:rsid w:val="00717BA0"/>
    <w:rsid w:val="00733201"/>
    <w:rsid w:val="00735882"/>
    <w:rsid w:val="00742B6B"/>
    <w:rsid w:val="00746E89"/>
    <w:rsid w:val="00747CDC"/>
    <w:rsid w:val="00753238"/>
    <w:rsid w:val="0075478E"/>
    <w:rsid w:val="00764FD1"/>
    <w:rsid w:val="007664A0"/>
    <w:rsid w:val="007672ED"/>
    <w:rsid w:val="00786B94"/>
    <w:rsid w:val="00795366"/>
    <w:rsid w:val="007A1D9C"/>
    <w:rsid w:val="007A3CAE"/>
    <w:rsid w:val="007B3BE1"/>
    <w:rsid w:val="007C20E5"/>
    <w:rsid w:val="007E0CA6"/>
    <w:rsid w:val="00802EE3"/>
    <w:rsid w:val="00805F55"/>
    <w:rsid w:val="00806BE3"/>
    <w:rsid w:val="00817320"/>
    <w:rsid w:val="00824740"/>
    <w:rsid w:val="00825AAA"/>
    <w:rsid w:val="008457B1"/>
    <w:rsid w:val="0084689D"/>
    <w:rsid w:val="008637F0"/>
    <w:rsid w:val="008656D6"/>
    <w:rsid w:val="008712CE"/>
    <w:rsid w:val="00871A0F"/>
    <w:rsid w:val="00874E4C"/>
    <w:rsid w:val="00882721"/>
    <w:rsid w:val="00883F66"/>
    <w:rsid w:val="008977B8"/>
    <w:rsid w:val="008A5EB0"/>
    <w:rsid w:val="008B471A"/>
    <w:rsid w:val="008C42F1"/>
    <w:rsid w:val="008E0F17"/>
    <w:rsid w:val="008E3B69"/>
    <w:rsid w:val="008F15D5"/>
    <w:rsid w:val="008F5A45"/>
    <w:rsid w:val="008F6C6C"/>
    <w:rsid w:val="00903B48"/>
    <w:rsid w:val="00921C24"/>
    <w:rsid w:val="009322BD"/>
    <w:rsid w:val="00933E7C"/>
    <w:rsid w:val="009418D5"/>
    <w:rsid w:val="0094257E"/>
    <w:rsid w:val="0096070E"/>
    <w:rsid w:val="00961D68"/>
    <w:rsid w:val="009642AC"/>
    <w:rsid w:val="0097423B"/>
    <w:rsid w:val="00976DEA"/>
    <w:rsid w:val="00981C9E"/>
    <w:rsid w:val="009922FE"/>
    <w:rsid w:val="009B52E3"/>
    <w:rsid w:val="009C78CE"/>
    <w:rsid w:val="009C7EBC"/>
    <w:rsid w:val="009D3D62"/>
    <w:rsid w:val="009D6ECB"/>
    <w:rsid w:val="009E08D3"/>
    <w:rsid w:val="009E3F55"/>
    <w:rsid w:val="00A3117F"/>
    <w:rsid w:val="00A32E59"/>
    <w:rsid w:val="00A338F8"/>
    <w:rsid w:val="00A41E0F"/>
    <w:rsid w:val="00A44A7E"/>
    <w:rsid w:val="00A44EE0"/>
    <w:rsid w:val="00A45392"/>
    <w:rsid w:val="00A5751F"/>
    <w:rsid w:val="00A65B49"/>
    <w:rsid w:val="00A6673F"/>
    <w:rsid w:val="00A736D1"/>
    <w:rsid w:val="00A73D59"/>
    <w:rsid w:val="00A86800"/>
    <w:rsid w:val="00AA5BAF"/>
    <w:rsid w:val="00AA7BF8"/>
    <w:rsid w:val="00AB0641"/>
    <w:rsid w:val="00AB6B9E"/>
    <w:rsid w:val="00AC42D5"/>
    <w:rsid w:val="00AD10DC"/>
    <w:rsid w:val="00AD5D4A"/>
    <w:rsid w:val="00AE3E26"/>
    <w:rsid w:val="00AE75DA"/>
    <w:rsid w:val="00B227F3"/>
    <w:rsid w:val="00B25CD1"/>
    <w:rsid w:val="00B30A0F"/>
    <w:rsid w:val="00B32482"/>
    <w:rsid w:val="00B4203C"/>
    <w:rsid w:val="00B66FF8"/>
    <w:rsid w:val="00B7258D"/>
    <w:rsid w:val="00B747A0"/>
    <w:rsid w:val="00B815FA"/>
    <w:rsid w:val="00B876B9"/>
    <w:rsid w:val="00BA068C"/>
    <w:rsid w:val="00BA1230"/>
    <w:rsid w:val="00BA386A"/>
    <w:rsid w:val="00BA467E"/>
    <w:rsid w:val="00BB2110"/>
    <w:rsid w:val="00BB4817"/>
    <w:rsid w:val="00BB56D9"/>
    <w:rsid w:val="00BC0844"/>
    <w:rsid w:val="00BC6D0C"/>
    <w:rsid w:val="00BC7B56"/>
    <w:rsid w:val="00BD0334"/>
    <w:rsid w:val="00BD149D"/>
    <w:rsid w:val="00BE0BE0"/>
    <w:rsid w:val="00C024C4"/>
    <w:rsid w:val="00C07AEC"/>
    <w:rsid w:val="00C124B5"/>
    <w:rsid w:val="00C13CB5"/>
    <w:rsid w:val="00C14F53"/>
    <w:rsid w:val="00C16E2F"/>
    <w:rsid w:val="00C278BD"/>
    <w:rsid w:val="00C307B7"/>
    <w:rsid w:val="00C45A05"/>
    <w:rsid w:val="00C46404"/>
    <w:rsid w:val="00C7358C"/>
    <w:rsid w:val="00C831C0"/>
    <w:rsid w:val="00C9129C"/>
    <w:rsid w:val="00C96EE0"/>
    <w:rsid w:val="00CA226C"/>
    <w:rsid w:val="00CA680C"/>
    <w:rsid w:val="00CA735B"/>
    <w:rsid w:val="00CB00B8"/>
    <w:rsid w:val="00CB1F38"/>
    <w:rsid w:val="00CB223E"/>
    <w:rsid w:val="00CB2578"/>
    <w:rsid w:val="00CB377A"/>
    <w:rsid w:val="00CC181B"/>
    <w:rsid w:val="00D56F78"/>
    <w:rsid w:val="00D608FD"/>
    <w:rsid w:val="00D61DE2"/>
    <w:rsid w:val="00D71BC2"/>
    <w:rsid w:val="00D85CA1"/>
    <w:rsid w:val="00D87B5C"/>
    <w:rsid w:val="00DA0383"/>
    <w:rsid w:val="00DB5353"/>
    <w:rsid w:val="00DC2058"/>
    <w:rsid w:val="00DD45BA"/>
    <w:rsid w:val="00DE5D2B"/>
    <w:rsid w:val="00DF549C"/>
    <w:rsid w:val="00DF7C73"/>
    <w:rsid w:val="00E07243"/>
    <w:rsid w:val="00E16A20"/>
    <w:rsid w:val="00E20568"/>
    <w:rsid w:val="00E22D86"/>
    <w:rsid w:val="00E2528A"/>
    <w:rsid w:val="00E43323"/>
    <w:rsid w:val="00E443BB"/>
    <w:rsid w:val="00E44F4B"/>
    <w:rsid w:val="00E53BCF"/>
    <w:rsid w:val="00E57A7B"/>
    <w:rsid w:val="00E820EE"/>
    <w:rsid w:val="00EB577D"/>
    <w:rsid w:val="00EC5777"/>
    <w:rsid w:val="00EC5CAC"/>
    <w:rsid w:val="00ED4420"/>
    <w:rsid w:val="00ED4778"/>
    <w:rsid w:val="00ED76BB"/>
    <w:rsid w:val="00F05BF6"/>
    <w:rsid w:val="00F072B7"/>
    <w:rsid w:val="00F117EC"/>
    <w:rsid w:val="00F21145"/>
    <w:rsid w:val="00F30CDA"/>
    <w:rsid w:val="00F40BD5"/>
    <w:rsid w:val="00F54632"/>
    <w:rsid w:val="00F649CE"/>
    <w:rsid w:val="00F7412B"/>
    <w:rsid w:val="00F75CDD"/>
    <w:rsid w:val="00F82CEE"/>
    <w:rsid w:val="00F8301A"/>
    <w:rsid w:val="00FA0030"/>
    <w:rsid w:val="00FA1EAF"/>
    <w:rsid w:val="00FB4ABA"/>
    <w:rsid w:val="00FD0033"/>
    <w:rsid w:val="00FD1822"/>
    <w:rsid w:val="00FD68FC"/>
    <w:rsid w:val="00FE6C22"/>
    <w:rsid w:val="00FE7EA3"/>
    <w:rsid w:val="00FF1A75"/>
    <w:rsid w:val="00FF1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8DF3"/>
  <w15:docId w15:val="{4D290FC8-6ABC-405F-9113-8E38C3ED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452" w:firstLine="158"/>
    </w:pPr>
    <w:rPr>
      <w:b/>
      <w:bCs/>
      <w:sz w:val="36"/>
      <w:szCs w:val="36"/>
    </w:rPr>
  </w:style>
  <w:style w:type="paragraph" w:styleId="Prrafodelista">
    <w:name w:val="List Paragraph"/>
    <w:basedOn w:val="Normal"/>
    <w:uiPriority w:val="1"/>
    <w:qFormat/>
    <w:pPr>
      <w:spacing w:before="1"/>
      <w:ind w:left="934" w:right="306" w:hanging="356"/>
    </w:pPr>
  </w:style>
  <w:style w:type="paragraph" w:customStyle="1" w:styleId="TableParagraph">
    <w:name w:val="Table Paragraph"/>
    <w:basedOn w:val="Normal"/>
    <w:uiPriority w:val="1"/>
    <w:qFormat/>
  </w:style>
  <w:style w:type="paragraph" w:styleId="Revisin">
    <w:name w:val="Revision"/>
    <w:hidden/>
    <w:uiPriority w:val="99"/>
    <w:semiHidden/>
    <w:rsid w:val="007064FE"/>
    <w:pPr>
      <w:widowControl/>
      <w:autoSpaceDE/>
      <w:autoSpaceDN/>
    </w:pPr>
    <w:rPr>
      <w:rFonts w:ascii="Calibri" w:eastAsia="Calibri" w:hAnsi="Calibri" w:cs="Calibri"/>
      <w:lang w:val="es-ES"/>
    </w:rPr>
  </w:style>
  <w:style w:type="paragraph" w:styleId="Encabezado">
    <w:name w:val="header"/>
    <w:basedOn w:val="Normal"/>
    <w:link w:val="EncabezadoCar"/>
    <w:uiPriority w:val="99"/>
    <w:unhideWhenUsed/>
    <w:rsid w:val="000D7893"/>
    <w:pPr>
      <w:tabs>
        <w:tab w:val="center" w:pos="4252"/>
        <w:tab w:val="right" w:pos="8504"/>
      </w:tabs>
    </w:pPr>
  </w:style>
  <w:style w:type="character" w:customStyle="1" w:styleId="EncabezadoCar">
    <w:name w:val="Encabezado Car"/>
    <w:basedOn w:val="Fuentedeprrafopredeter"/>
    <w:link w:val="Encabezado"/>
    <w:uiPriority w:val="99"/>
    <w:rsid w:val="000D7893"/>
    <w:rPr>
      <w:rFonts w:ascii="Calibri" w:eastAsia="Calibri" w:hAnsi="Calibri" w:cs="Calibri"/>
      <w:lang w:val="es-ES"/>
    </w:rPr>
  </w:style>
  <w:style w:type="paragraph" w:styleId="Piedepgina">
    <w:name w:val="footer"/>
    <w:basedOn w:val="Normal"/>
    <w:link w:val="PiedepginaCar"/>
    <w:uiPriority w:val="99"/>
    <w:unhideWhenUsed/>
    <w:rsid w:val="000D7893"/>
    <w:pPr>
      <w:tabs>
        <w:tab w:val="center" w:pos="4252"/>
        <w:tab w:val="right" w:pos="8504"/>
      </w:tabs>
    </w:pPr>
  </w:style>
  <w:style w:type="character" w:customStyle="1" w:styleId="PiedepginaCar">
    <w:name w:val="Pie de página Car"/>
    <w:basedOn w:val="Fuentedeprrafopredeter"/>
    <w:link w:val="Piedepgina"/>
    <w:uiPriority w:val="99"/>
    <w:rsid w:val="000D7893"/>
    <w:rPr>
      <w:rFonts w:ascii="Calibri" w:eastAsia="Calibri" w:hAnsi="Calibri" w:cs="Calibri"/>
      <w:lang w:val="es-ES"/>
    </w:rPr>
  </w:style>
  <w:style w:type="character" w:styleId="Refdecomentario">
    <w:name w:val="annotation reference"/>
    <w:basedOn w:val="Fuentedeprrafopredeter"/>
    <w:uiPriority w:val="99"/>
    <w:semiHidden/>
    <w:unhideWhenUsed/>
    <w:rsid w:val="002A05BD"/>
    <w:rPr>
      <w:sz w:val="16"/>
      <w:szCs w:val="16"/>
    </w:rPr>
  </w:style>
  <w:style w:type="paragraph" w:styleId="Textocomentario">
    <w:name w:val="annotation text"/>
    <w:basedOn w:val="Normal"/>
    <w:link w:val="TextocomentarioCar"/>
    <w:uiPriority w:val="99"/>
    <w:unhideWhenUsed/>
    <w:rsid w:val="002A05BD"/>
    <w:rPr>
      <w:sz w:val="20"/>
      <w:szCs w:val="20"/>
    </w:rPr>
  </w:style>
  <w:style w:type="character" w:customStyle="1" w:styleId="TextocomentarioCar">
    <w:name w:val="Texto comentario Car"/>
    <w:basedOn w:val="Fuentedeprrafopredeter"/>
    <w:link w:val="Textocomentario"/>
    <w:uiPriority w:val="99"/>
    <w:rsid w:val="002A05BD"/>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A05BD"/>
    <w:rPr>
      <w:b/>
      <w:bCs/>
    </w:rPr>
  </w:style>
  <w:style w:type="character" w:customStyle="1" w:styleId="AsuntodelcomentarioCar">
    <w:name w:val="Asunto del comentario Car"/>
    <w:basedOn w:val="TextocomentarioCar"/>
    <w:link w:val="Asuntodelcomentario"/>
    <w:uiPriority w:val="99"/>
    <w:semiHidden/>
    <w:rsid w:val="002A05BD"/>
    <w:rPr>
      <w:rFonts w:ascii="Calibri" w:eastAsia="Calibri" w:hAnsi="Calibri" w:cs="Calibri"/>
      <w:b/>
      <w:bCs/>
      <w:sz w:val="20"/>
      <w:szCs w:val="20"/>
      <w:lang w:val="es-ES"/>
    </w:rPr>
  </w:style>
  <w:style w:type="character" w:styleId="Hipervnculo">
    <w:name w:val="Hyperlink"/>
    <w:basedOn w:val="Fuentedeprrafopredeter"/>
    <w:uiPriority w:val="99"/>
    <w:unhideWhenUsed/>
    <w:rsid w:val="00B747A0"/>
    <w:rPr>
      <w:color w:val="0000FF" w:themeColor="hyperlink"/>
      <w:u w:val="single"/>
    </w:rPr>
  </w:style>
  <w:style w:type="character" w:styleId="Mencinsinresolver">
    <w:name w:val="Unresolved Mention"/>
    <w:basedOn w:val="Fuentedeprrafopredeter"/>
    <w:uiPriority w:val="99"/>
    <w:semiHidden/>
    <w:unhideWhenUsed/>
    <w:rsid w:val="00B7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7272">
      <w:bodyDiv w:val="1"/>
      <w:marLeft w:val="0"/>
      <w:marRight w:val="0"/>
      <w:marTop w:val="0"/>
      <w:marBottom w:val="0"/>
      <w:divBdr>
        <w:top w:val="none" w:sz="0" w:space="0" w:color="auto"/>
        <w:left w:val="none" w:sz="0" w:space="0" w:color="auto"/>
        <w:bottom w:val="none" w:sz="0" w:space="0" w:color="auto"/>
        <w:right w:val="none" w:sz="0" w:space="0" w:color="auto"/>
      </w:divBdr>
    </w:div>
    <w:div w:id="989020875">
      <w:bodyDiv w:val="1"/>
      <w:marLeft w:val="0"/>
      <w:marRight w:val="0"/>
      <w:marTop w:val="0"/>
      <w:marBottom w:val="0"/>
      <w:divBdr>
        <w:top w:val="none" w:sz="0" w:space="0" w:color="auto"/>
        <w:left w:val="none" w:sz="0" w:space="0" w:color="auto"/>
        <w:bottom w:val="none" w:sz="0" w:space="0" w:color="auto"/>
        <w:right w:val="none" w:sz="0" w:space="0" w:color="auto"/>
      </w:divBdr>
    </w:div>
    <w:div w:id="168324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a1329-fe24-4072-a248-a00f8106df47">
      <Terms xmlns="http://schemas.microsoft.com/office/infopath/2007/PartnerControls"/>
    </lcf76f155ced4ddcb4097134ff3c332f>
    <TaxCatchAll xmlns="f6f80bbb-4866-4eab-b8c0-3eb44152ef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109626FF3416346900083114EEF3D08" ma:contentTypeVersion="13" ma:contentTypeDescription="Crear nuevo documento." ma:contentTypeScope="" ma:versionID="3d26531dadccb5ad691c69232ff677d3">
  <xsd:schema xmlns:xsd="http://www.w3.org/2001/XMLSchema" xmlns:xs="http://www.w3.org/2001/XMLSchema" xmlns:p="http://schemas.microsoft.com/office/2006/metadata/properties" xmlns:ns2="dd2a1329-fe24-4072-a248-a00f8106df47" xmlns:ns3="f6f80bbb-4866-4eab-b8c0-3eb44152efe8" targetNamespace="http://schemas.microsoft.com/office/2006/metadata/properties" ma:root="true" ma:fieldsID="6e3a891131ec19043363454460d746b0" ns2:_="" ns3:_="">
    <xsd:import namespace="dd2a1329-fe24-4072-a248-a00f8106df47"/>
    <xsd:import namespace="f6f80bbb-4866-4eab-b8c0-3eb44152ef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a1329-fe24-4072-a248-a00f8106d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8bea949-52df-4e72-8779-53fda5e2e9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80bbb-4866-4eab-b8c0-3eb44152ef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7e68a5-c034-4461-bba5-075686b28612}" ma:internalName="TaxCatchAll" ma:showField="CatchAllData" ma:web="f6f80bbb-4866-4eab-b8c0-3eb44152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287C4-A371-43BF-B0AA-068419A13C23}">
  <ds:schemaRefs>
    <ds:schemaRef ds:uri="http://schemas.microsoft.com/office/2006/metadata/properties"/>
    <ds:schemaRef ds:uri="http://schemas.microsoft.com/office/infopath/2007/PartnerControls"/>
    <ds:schemaRef ds:uri="dd2a1329-fe24-4072-a248-a00f8106df47"/>
    <ds:schemaRef ds:uri="f6f80bbb-4866-4eab-b8c0-3eb44152efe8"/>
  </ds:schemaRefs>
</ds:datastoreItem>
</file>

<file path=customXml/itemProps2.xml><?xml version="1.0" encoding="utf-8"?>
<ds:datastoreItem xmlns:ds="http://schemas.openxmlformats.org/officeDocument/2006/customXml" ds:itemID="{E631B6D5-A9D3-4139-BF96-3B0733A3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a1329-fe24-4072-a248-a00f8106df47"/>
    <ds:schemaRef ds:uri="f6f80bbb-4866-4eab-b8c0-3eb44152e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518D-A9D8-4D0C-93FF-3F0E428F4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NUEVAPESCANOVA</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 Monroy</dc:creator>
  <cp:lastModifiedBy>Maria Dolores Rosales Guimerans</cp:lastModifiedBy>
  <cp:revision>12</cp:revision>
  <cp:lastPrinted>2025-03-10T17:06:00Z</cp:lastPrinted>
  <dcterms:created xsi:type="dcterms:W3CDTF">2025-07-22T14:14:00Z</dcterms:created>
  <dcterms:modified xsi:type="dcterms:W3CDTF">2025-07-23T07:34:00Z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para Microsoft 365</vt:lpwstr>
  </property>
  <property fmtid="{D5CDD505-2E9C-101B-9397-08002B2CF9AE}" pid="4" name="LastSaved">
    <vt:filetime>2024-09-11T00:00:00Z</vt:filetime>
  </property>
  <property fmtid="{D5CDD505-2E9C-101B-9397-08002B2CF9AE}" pid="5" name="Producer">
    <vt:lpwstr>Microsoft® Word para Microsoft 365</vt:lpwstr>
  </property>
  <property fmtid="{D5CDD505-2E9C-101B-9397-08002B2CF9AE}" pid="6" name="ContentTypeId">
    <vt:lpwstr>0x0101002109626FF3416346900083114EEF3D08</vt:lpwstr>
  </property>
  <property fmtid="{D5CDD505-2E9C-101B-9397-08002B2CF9AE}" pid="7" name="MediaServiceImageTags">
    <vt:lpwstr/>
  </property>
</Properties>
</file>