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F78" w:rsidRDefault="00D56F78">
      <w:pPr>
        <w:pStyle w:val="Textoindependiente"/>
        <w:rPr>
          <w:rFonts w:ascii="Times New Roman"/>
          <w:sz w:val="20"/>
        </w:rPr>
      </w:pPr>
    </w:p>
    <w:p w:rsidR="00D56F78" w:rsidRDefault="00475B1D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3C7F850" wp14:editId="63C7F851">
                <wp:extent cx="5905500" cy="207645"/>
                <wp:effectExtent l="9525" t="0" r="0" b="1142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56F78" w:rsidRDefault="00475B1D">
                            <w:pPr>
                              <w:spacing w:before="18"/>
                              <w:ind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C7F85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" filled="f" strokeweight=".16931mm">
                <v:path arrowok="t"/>
                <v:textbox inset="0,0,0,0">
                  <w:txbxContent>
                    <w:p w:rsidR="00D56F78" w:rsidRDefault="00475B1D">
                      <w:pPr>
                        <w:spacing w:before="18"/>
                        <w:ind w:right="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NOTA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PRENSA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6F78" w:rsidRDefault="00D56F78">
      <w:pPr>
        <w:pStyle w:val="Textoindependiente"/>
        <w:rPr>
          <w:rFonts w:ascii="Times New Roman"/>
          <w:sz w:val="36"/>
        </w:rPr>
      </w:pPr>
    </w:p>
    <w:p w:rsidR="00D56F78" w:rsidRDefault="006D22D3" w:rsidP="00DC2058">
      <w:pPr>
        <w:pStyle w:val="Ttulo"/>
        <w:spacing w:line="276" w:lineRule="auto"/>
        <w:jc w:val="center"/>
      </w:pPr>
      <w:r w:rsidRPr="006D22D3">
        <w:t>Grupo Nueva Pescanova impulsa la segunda fase de un proyecto para reforzar la formación marítimo-pesquera en Mozambique</w:t>
      </w:r>
    </w:p>
    <w:p w:rsidR="006D22D3" w:rsidRPr="00A9125B" w:rsidRDefault="006D22D3" w:rsidP="006D22D3">
      <w:pPr>
        <w:pStyle w:val="Prrafodelista"/>
        <w:numPr>
          <w:ilvl w:val="0"/>
          <w:numId w:val="1"/>
        </w:numPr>
        <w:tabs>
          <w:tab w:val="left" w:pos="932"/>
          <w:tab w:val="left" w:pos="934"/>
        </w:tabs>
        <w:spacing w:before="165" w:line="259" w:lineRule="auto"/>
        <w:ind w:right="345"/>
        <w:jc w:val="both"/>
        <w:rPr>
          <w:b/>
          <w:sz w:val="24"/>
          <w:szCs w:val="24"/>
        </w:rPr>
      </w:pPr>
      <w:r w:rsidRPr="00A9125B">
        <w:rPr>
          <w:b/>
          <w:sz w:val="24"/>
          <w:szCs w:val="24"/>
        </w:rPr>
        <w:t xml:space="preserve">Esta iniciativa se enmarca en la Alianza Público-Privada para el Desarrollo de la que forman parte </w:t>
      </w:r>
      <w:r w:rsidR="00AE2D56">
        <w:rPr>
          <w:b/>
          <w:sz w:val="24"/>
          <w:szCs w:val="24"/>
        </w:rPr>
        <w:t xml:space="preserve">el Grupo </w:t>
      </w:r>
      <w:r w:rsidRPr="00A9125B">
        <w:rPr>
          <w:b/>
          <w:sz w:val="24"/>
          <w:szCs w:val="24"/>
        </w:rPr>
        <w:t xml:space="preserve">Nueva Pescanova, </w:t>
      </w:r>
      <w:bookmarkStart w:id="0" w:name="_Hlk200028072"/>
      <w:r w:rsidRPr="00A9125B">
        <w:rPr>
          <w:b/>
          <w:sz w:val="24"/>
          <w:szCs w:val="24"/>
        </w:rPr>
        <w:t>la Agencia Española de Cooperación Internacional para el Desarrollo</w:t>
      </w:r>
      <w:bookmarkEnd w:id="0"/>
      <w:r w:rsidRPr="00A9125B">
        <w:rPr>
          <w:b/>
          <w:sz w:val="24"/>
          <w:szCs w:val="24"/>
        </w:rPr>
        <w:t xml:space="preserve">, </w:t>
      </w:r>
      <w:r w:rsidR="00B53FB5" w:rsidRPr="00B53FB5">
        <w:rPr>
          <w:b/>
          <w:sz w:val="24"/>
          <w:szCs w:val="24"/>
        </w:rPr>
        <w:t>el Instituto Politécnico Marítimo Pesquero do Atlántico</w:t>
      </w:r>
      <w:r w:rsidR="000B2F3B">
        <w:rPr>
          <w:b/>
          <w:sz w:val="24"/>
          <w:szCs w:val="24"/>
        </w:rPr>
        <w:t xml:space="preserve">, </w:t>
      </w:r>
      <w:r w:rsidR="000B2F3B" w:rsidRPr="000B2F3B">
        <w:rPr>
          <w:b/>
          <w:sz w:val="24"/>
          <w:szCs w:val="24"/>
        </w:rPr>
        <w:t xml:space="preserve">el Instituto de </w:t>
      </w:r>
      <w:proofErr w:type="spellStart"/>
      <w:r w:rsidR="000B2F3B" w:rsidRPr="000B2F3B">
        <w:rPr>
          <w:b/>
          <w:sz w:val="24"/>
          <w:szCs w:val="24"/>
        </w:rPr>
        <w:t>Ciências</w:t>
      </w:r>
      <w:proofErr w:type="spellEnd"/>
      <w:r w:rsidR="000B2F3B" w:rsidRPr="000B2F3B">
        <w:rPr>
          <w:b/>
          <w:sz w:val="24"/>
          <w:szCs w:val="24"/>
        </w:rPr>
        <w:t xml:space="preserve"> do Mar e Pescas</w:t>
      </w:r>
      <w:r w:rsidR="00B53FB5" w:rsidRPr="00B53FB5">
        <w:rPr>
          <w:b/>
          <w:sz w:val="24"/>
          <w:szCs w:val="24"/>
        </w:rPr>
        <w:t xml:space="preserve"> </w:t>
      </w:r>
      <w:r w:rsidR="000B2F3B" w:rsidRPr="000B2F3B">
        <w:rPr>
          <w:b/>
          <w:sz w:val="24"/>
          <w:szCs w:val="24"/>
        </w:rPr>
        <w:t>y la Asociación Mozambiqueña de Armadores de Pesca Industrial de Camarón</w:t>
      </w:r>
      <w:r w:rsidR="000B2F3B" w:rsidRPr="000B2F3B" w:rsidDel="00B53FB5">
        <w:rPr>
          <w:b/>
          <w:sz w:val="24"/>
          <w:szCs w:val="24"/>
        </w:rPr>
        <w:t xml:space="preserve"> </w:t>
      </w:r>
    </w:p>
    <w:p w:rsidR="006D22D3" w:rsidRPr="00A9125B" w:rsidRDefault="006D22D3" w:rsidP="006D22D3">
      <w:pPr>
        <w:pStyle w:val="Prrafodelista"/>
        <w:numPr>
          <w:ilvl w:val="0"/>
          <w:numId w:val="1"/>
        </w:numPr>
        <w:tabs>
          <w:tab w:val="left" w:pos="932"/>
          <w:tab w:val="left" w:pos="934"/>
        </w:tabs>
        <w:spacing w:before="165" w:line="259" w:lineRule="auto"/>
        <w:ind w:right="345"/>
        <w:jc w:val="both"/>
        <w:rPr>
          <w:b/>
          <w:sz w:val="24"/>
          <w:szCs w:val="24"/>
        </w:rPr>
      </w:pPr>
      <w:r w:rsidRPr="00A9125B">
        <w:rPr>
          <w:b/>
          <w:sz w:val="24"/>
          <w:szCs w:val="24"/>
        </w:rPr>
        <w:t xml:space="preserve">El programa busca consolidar la formación </w:t>
      </w:r>
      <w:r w:rsidR="00C23C6D">
        <w:rPr>
          <w:b/>
          <w:sz w:val="24"/>
          <w:szCs w:val="24"/>
        </w:rPr>
        <w:t>marítimo-pesquera</w:t>
      </w:r>
      <w:r w:rsidRPr="00A9125B">
        <w:rPr>
          <w:b/>
          <w:sz w:val="24"/>
          <w:szCs w:val="24"/>
        </w:rPr>
        <w:t xml:space="preserve"> para fomentar el empleo y el desarrollo sostenible en Mozambique</w:t>
      </w:r>
    </w:p>
    <w:p w:rsidR="006D22D3" w:rsidRDefault="2AD341DA" w:rsidP="006D22D3">
      <w:pPr>
        <w:pStyle w:val="Textoindependiente"/>
        <w:spacing w:before="202" w:line="276" w:lineRule="auto"/>
        <w:ind w:left="222" w:right="227"/>
        <w:jc w:val="both"/>
      </w:pPr>
      <w:r w:rsidRPr="2AD341DA">
        <w:rPr>
          <w:b/>
          <w:bCs/>
        </w:rPr>
        <w:t>Santiago de Compostela, 9 de junio de 2025.-</w:t>
      </w:r>
      <w:r>
        <w:t xml:space="preserve"> Representantes de la Fundación Nueva Pescanova y Pescamar, filial del Grupo Nueva Pescanova en Mozambique; la Agencia Española de Cooperación Internacional para el Desarrollo (AECID); el Instituto Politécnico Marítimo Pesquero do Atlántico (IPMPA) —dependiente de la </w:t>
      </w:r>
      <w:proofErr w:type="spellStart"/>
      <w:r>
        <w:t>Conselleria</w:t>
      </w:r>
      <w:proofErr w:type="spellEnd"/>
      <w:r>
        <w:t xml:space="preserve"> do Mar de la Xunta de Galicia—; el </w:t>
      </w:r>
      <w:bookmarkStart w:id="1" w:name="_Hlk171934762"/>
      <w:r>
        <w:t xml:space="preserve">Instituto de </w:t>
      </w:r>
      <w:proofErr w:type="spellStart"/>
      <w:r>
        <w:t>Ciências</w:t>
      </w:r>
      <w:proofErr w:type="spellEnd"/>
      <w:r>
        <w:t xml:space="preserve"> do Mar e Pescas</w:t>
      </w:r>
      <w:bookmarkEnd w:id="1"/>
      <w:r>
        <w:t xml:space="preserve"> (IMARP); y la Asociación Mozambiqueña de Armadores de Pesca Industrial de Camarón (AMAPIC); han firmado hoy en Santiago de Compostela el acuerdo para poner en marcha la segunda fase de un proyecto de formación marítimo-pesquer</w:t>
      </w:r>
      <w:r w:rsidR="00BB7DF4">
        <w:t>a</w:t>
      </w:r>
      <w:r>
        <w:t xml:space="preserve"> en Mozambique.</w:t>
      </w:r>
    </w:p>
    <w:p w:rsidR="006D375D" w:rsidRPr="00474557" w:rsidRDefault="008C4445" w:rsidP="006D375D">
      <w:pPr>
        <w:pStyle w:val="Textoindependiente"/>
        <w:spacing w:before="202" w:line="276" w:lineRule="auto"/>
        <w:ind w:left="222" w:right="227"/>
        <w:jc w:val="both"/>
      </w:pPr>
      <w:r>
        <w:t>Esta iniciativa forma parte</w:t>
      </w:r>
      <w:r w:rsidR="2AD341DA">
        <w:t xml:space="preserve"> de la Asociación Público-Privada para el Desarrollo (APPD), iniciada en 2019 con el objetivo de mejorar las capacidades del sector pesquero y fomentar el empleo sostenible en el país africano. El proyecto, que cuenta con un presupuesto total de 346</w:t>
      </w:r>
      <w:r w:rsidR="00BF3E6A">
        <w:t xml:space="preserve"> mil</w:t>
      </w:r>
      <w:r w:rsidR="2AD341DA">
        <w:t xml:space="preserve"> euros, se desarrollará durante los próximos años para consolidar y ampliar los hitos alcanzados en la primera etapa del programa (2019-2021).</w:t>
      </w:r>
    </w:p>
    <w:p w:rsidR="006D22D3" w:rsidRDefault="00C377F3" w:rsidP="006D22D3">
      <w:pPr>
        <w:pStyle w:val="Textoindependiente"/>
        <w:spacing w:before="202" w:line="276" w:lineRule="auto"/>
        <w:ind w:left="222" w:right="227"/>
        <w:jc w:val="both"/>
      </w:pPr>
      <w:r>
        <w:t>Durante su</w:t>
      </w:r>
      <w:r w:rsidR="000A6891">
        <w:t xml:space="preserve"> fase inicial</w:t>
      </w:r>
      <w:r w:rsidR="006D22D3">
        <w:t>, ya ejecutada,</w:t>
      </w:r>
      <w:r>
        <w:t xml:space="preserve"> se sentaron</w:t>
      </w:r>
      <w:r w:rsidRPr="00474557">
        <w:t xml:space="preserve"> las bases para la mejora de las competencias profesionales en el ámbito pesquero, con un enfoque centrado en la sostenibilidad, la equidad de género y el respeto a los derechos humanos.</w:t>
      </w:r>
      <w:r w:rsidR="006D22D3">
        <w:t xml:space="preserve"> </w:t>
      </w:r>
    </w:p>
    <w:p w:rsidR="00FA13BC" w:rsidRDefault="00B403CC" w:rsidP="00FA13BC">
      <w:pPr>
        <w:pStyle w:val="Textoindependiente"/>
        <w:spacing w:before="202" w:line="276" w:lineRule="auto"/>
        <w:ind w:left="222" w:right="227"/>
        <w:jc w:val="both"/>
      </w:pPr>
      <w:r>
        <w:t>En el marco de</w:t>
      </w:r>
      <w:r w:rsidR="002607BC">
        <w:t xml:space="preserve"> este nuevo acuerdo</w:t>
      </w:r>
      <w:r w:rsidR="006D22D3">
        <w:t xml:space="preserve">, el programa se centrará en reforzar la formación de formadores </w:t>
      </w:r>
      <w:r w:rsidR="00B4215E">
        <w:t>del</w:t>
      </w:r>
      <w:r w:rsidR="006D22D3">
        <w:t xml:space="preserve"> Instituto de </w:t>
      </w:r>
      <w:proofErr w:type="spellStart"/>
      <w:r w:rsidR="006D22D3">
        <w:t>Ciências</w:t>
      </w:r>
      <w:proofErr w:type="spellEnd"/>
      <w:r w:rsidR="006D22D3">
        <w:t xml:space="preserve"> do Mar e Pescas, especialmente en </w:t>
      </w:r>
      <w:r w:rsidR="000E09F7">
        <w:t xml:space="preserve">aquellas </w:t>
      </w:r>
      <w:r w:rsidR="006D22D3">
        <w:t>áreas que</w:t>
      </w:r>
      <w:r w:rsidR="000E09F7">
        <w:t xml:space="preserve"> no pudieron desarrollarse plenamente</w:t>
      </w:r>
      <w:r w:rsidR="006D22D3">
        <w:t xml:space="preserve"> </w:t>
      </w:r>
      <w:r w:rsidR="009472FF">
        <w:t>debido a</w:t>
      </w:r>
      <w:r w:rsidR="006D22D3">
        <w:t xml:space="preserve"> las restricciones derivadas de la pandemia</w:t>
      </w:r>
      <w:r w:rsidR="009472FF">
        <w:t>. Además, contempla la ampliación de</w:t>
      </w:r>
      <w:r w:rsidR="006D22D3">
        <w:t xml:space="preserve"> la oferta académica del centro </w:t>
      </w:r>
      <w:r w:rsidR="009472FF">
        <w:t>mediante la incorporación de</w:t>
      </w:r>
      <w:r w:rsidR="006D22D3">
        <w:t xml:space="preserve"> </w:t>
      </w:r>
      <w:r w:rsidR="00FA13BC">
        <w:t>nuevas titulaciones y equipos adaptados a las demandas d</w:t>
      </w:r>
      <w:r w:rsidR="006D22D3">
        <w:t>el mercado laboral y</w:t>
      </w:r>
      <w:r w:rsidR="00FA13BC">
        <w:t xml:space="preserve"> alineadas con</w:t>
      </w:r>
      <w:r w:rsidR="006D22D3">
        <w:t xml:space="preserve"> los estándares internacionales</w:t>
      </w:r>
      <w:r w:rsidR="00FA13BC">
        <w:t>.</w:t>
      </w:r>
      <w:r w:rsidR="00FA13BC" w:rsidRPr="00FA13BC">
        <w:t xml:space="preserve"> </w:t>
      </w:r>
      <w:r w:rsidR="00FA13BC" w:rsidRPr="00474557">
        <w:t xml:space="preserve">Asimismo, se prevé extender </w:t>
      </w:r>
      <w:r w:rsidR="00A63A97">
        <w:t xml:space="preserve">las oportunidades formativas a otras regiones costeras clave para </w:t>
      </w:r>
      <w:r w:rsidR="00FA13BC" w:rsidRPr="00474557">
        <w:t>el desarrollo del sector pesquero en Mozambique</w:t>
      </w:r>
      <w:r w:rsidR="007E2E75">
        <w:t>,</w:t>
      </w:r>
      <w:r w:rsidR="00F34401">
        <w:t xml:space="preserve"> así como impulsar las sinergias </w:t>
      </w:r>
      <w:r w:rsidR="00FA13BC" w:rsidRPr="00474557">
        <w:t xml:space="preserve">entre instituciones públicas, privadas y educativas, con el </w:t>
      </w:r>
      <w:r w:rsidR="00194779">
        <w:t>fin</w:t>
      </w:r>
      <w:r w:rsidR="00FA13BC" w:rsidRPr="00474557">
        <w:t xml:space="preserve"> de fortalecer la capacitación técnica y facilitar el acceso al empleo en el sector marítimo-pesquero.</w:t>
      </w:r>
    </w:p>
    <w:p w:rsidR="00AA3284" w:rsidRPr="00D230AF" w:rsidRDefault="00AA3284" w:rsidP="00FA13BC">
      <w:pPr>
        <w:pStyle w:val="Textoindependiente"/>
        <w:spacing w:before="202" w:line="276" w:lineRule="auto"/>
        <w:ind w:left="222" w:right="227"/>
        <w:jc w:val="both"/>
        <w:rPr>
          <w:b/>
          <w:bCs/>
        </w:rPr>
      </w:pPr>
      <w:r w:rsidRPr="00D230AF">
        <w:rPr>
          <w:b/>
          <w:bCs/>
        </w:rPr>
        <w:t>Colaboración Galicia-Mozambique</w:t>
      </w:r>
    </w:p>
    <w:p w:rsidR="006D22D3" w:rsidRDefault="00C76209" w:rsidP="006D22D3">
      <w:pPr>
        <w:pStyle w:val="Textoindependiente"/>
        <w:spacing w:before="202" w:line="276" w:lineRule="auto"/>
        <w:ind w:left="222" w:right="227"/>
        <w:jc w:val="both"/>
      </w:pPr>
      <w:r>
        <w:t>E</w:t>
      </w:r>
      <w:r w:rsidR="006D22D3">
        <w:t>sta colaboración no solo favorece la creación de empleo y el desarrollo local, sino que también facilita la transferencia de conocimiento y tecnología y refuerza la colaboración entre Galicia y Mozambique para una actividad pesquera más sostenible, responsable y con impacto positivo en las comunidades.</w:t>
      </w:r>
    </w:p>
    <w:p w:rsidR="00474557" w:rsidRDefault="00474557" w:rsidP="00474557">
      <w:pPr>
        <w:pStyle w:val="Textoindependiente"/>
        <w:spacing w:before="202" w:line="276" w:lineRule="auto"/>
        <w:ind w:left="222" w:right="227"/>
        <w:jc w:val="both"/>
      </w:pPr>
      <w:r w:rsidRPr="00474557">
        <w:t xml:space="preserve">La participación de Galicia en este programa cobra especial relevancia por su larga tradición pesquera en aguas africanas y, en particular, en Mozambique, donde operan desde hace décadas flotas y empresas gallegas vinculadas a la pesca de </w:t>
      </w:r>
      <w:r w:rsidR="00EB0B31">
        <w:t>langostino</w:t>
      </w:r>
      <w:r w:rsidRPr="00474557">
        <w:t xml:space="preserve"> y </w:t>
      </w:r>
      <w:r w:rsidR="00EB0B31">
        <w:t>otras especies</w:t>
      </w:r>
      <w:r w:rsidRPr="00474557">
        <w:t xml:space="preserve"> de alto valor comercial. La cooperación institucional y formativa refuerza así el posicionamiento de Galicia como referente internacional en formación marítimo-pesquera, y permite avanzar hacia una actividad exterior más profesionalizada, segura y sostenible.</w:t>
      </w:r>
    </w:p>
    <w:p w:rsidR="00DA5949" w:rsidRDefault="2AD341DA" w:rsidP="00DA5949">
      <w:pPr>
        <w:pStyle w:val="Textoindependiente"/>
        <w:spacing w:before="202" w:line="276" w:lineRule="auto"/>
        <w:ind w:left="222" w:right="227"/>
        <w:jc w:val="both"/>
      </w:pPr>
      <w:r>
        <w:t>Además, este proyecto es estratégico para Pescamar, ya que representa una oportunidad para avanzar en el relevo generacional de las tripulaciones de su flota en Mozambique y mejorar la cualificación de los profesionales del sector en el país.</w:t>
      </w:r>
    </w:p>
    <w:p w:rsidR="00474557" w:rsidRPr="00474557" w:rsidRDefault="00474557" w:rsidP="00474557">
      <w:pPr>
        <w:pStyle w:val="Textoindependiente"/>
        <w:spacing w:before="202" w:line="276" w:lineRule="auto"/>
        <w:ind w:left="222" w:right="227"/>
        <w:jc w:val="both"/>
      </w:pPr>
      <w:r w:rsidRPr="00474557">
        <w:t>Este proyecto responde a las prioridades recogidas en el Marco de Asociación País España</w:t>
      </w:r>
      <w:r w:rsidR="00496E61">
        <w:t>-</w:t>
      </w:r>
      <w:r w:rsidRPr="00474557">
        <w:t>Mozambique</w:t>
      </w:r>
      <w:r w:rsidR="002B0FA8">
        <w:t xml:space="preserve">, </w:t>
      </w:r>
      <w:r w:rsidRPr="00474557">
        <w:t>contribuyendo a la mejora de la empleabilidad, el crecimiento económico y el fortalecimiento de las relaciones entre ambos países.</w:t>
      </w:r>
    </w:p>
    <w:p w:rsidR="00474557" w:rsidRDefault="00474557" w:rsidP="006D22D3">
      <w:pPr>
        <w:pStyle w:val="Textoindependiente"/>
        <w:spacing w:before="202" w:line="276" w:lineRule="auto"/>
        <w:ind w:left="222" w:right="227"/>
        <w:jc w:val="both"/>
      </w:pPr>
    </w:p>
    <w:p w:rsidR="006D22D3" w:rsidRDefault="006D22D3" w:rsidP="006D22D3">
      <w:pPr>
        <w:jc w:val="both"/>
        <w:rPr>
          <w:b/>
          <w:bCs/>
          <w:sz w:val="24"/>
          <w:szCs w:val="24"/>
        </w:rPr>
      </w:pPr>
    </w:p>
    <w:p w:rsidR="007064FE" w:rsidRDefault="007064FE" w:rsidP="007064FE">
      <w:pPr>
        <w:spacing w:before="1"/>
        <w:ind w:left="222"/>
        <w:jc w:val="both"/>
        <w:rPr>
          <w:b/>
          <w:sz w:val="24"/>
        </w:rPr>
      </w:pPr>
      <w:r>
        <w:rPr>
          <w:b/>
          <w:sz w:val="24"/>
        </w:rPr>
        <w:t>Sobre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Nueva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Pescanova</w:t>
      </w:r>
    </w:p>
    <w:p w:rsidR="007064FE" w:rsidRDefault="007064FE" w:rsidP="007064FE">
      <w:pPr>
        <w:pStyle w:val="Textoindependiente"/>
        <w:spacing w:before="242" w:line="276" w:lineRule="auto"/>
        <w:ind w:left="222" w:right="233"/>
        <w:jc w:val="both"/>
      </w:pPr>
      <w:r>
        <w:t>El</w:t>
      </w:r>
      <w:r>
        <w:rPr>
          <w:spacing w:val="-14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Nueva</w:t>
      </w:r>
      <w:r>
        <w:rPr>
          <w:spacing w:val="-13"/>
        </w:rPr>
        <w:t xml:space="preserve"> </w:t>
      </w:r>
      <w:r>
        <w:t>Pescanova</w:t>
      </w:r>
      <w:r>
        <w:rPr>
          <w:spacing w:val="-14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española</w:t>
      </w:r>
      <w:r>
        <w:rPr>
          <w:spacing w:val="-14"/>
        </w:rPr>
        <w:t xml:space="preserve"> </w:t>
      </w:r>
      <w:r>
        <w:t>especializada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pesca, el cultivo,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elaboración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comercialización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productos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mar,</w:t>
      </w:r>
      <w:r>
        <w:rPr>
          <w:spacing w:val="-3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frescos, refrigerados como congelados.</w:t>
      </w:r>
    </w:p>
    <w:p w:rsidR="007064FE" w:rsidRDefault="007064FE" w:rsidP="007064FE">
      <w:pPr>
        <w:pStyle w:val="Textoindependiente"/>
        <w:spacing w:before="201" w:line="276" w:lineRule="auto"/>
        <w:ind w:left="222" w:right="232"/>
        <w:jc w:val="both"/>
      </w:pPr>
      <w:r>
        <w:t>Emplea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 w:rsidRPr="00A6673F">
        <w:t>alrededor</w:t>
      </w:r>
      <w:r w:rsidRPr="00A6673F">
        <w:rPr>
          <w:spacing w:val="-13"/>
        </w:rPr>
        <w:t xml:space="preserve"> </w:t>
      </w:r>
      <w:r w:rsidRPr="00A6673F">
        <w:t>de</w:t>
      </w:r>
      <w:r w:rsidRPr="00A6673F">
        <w:rPr>
          <w:spacing w:val="-14"/>
        </w:rPr>
        <w:t xml:space="preserve"> </w:t>
      </w:r>
      <w:r w:rsidRPr="00A6673F">
        <w:t>10.000</w:t>
      </w:r>
      <w:r w:rsidRPr="00A6673F">
        <w:rPr>
          <w:spacing w:val="-12"/>
        </w:rPr>
        <w:t xml:space="preserve"> </w:t>
      </w:r>
      <w:r w:rsidRPr="00A6673F">
        <w:t>personas</w:t>
      </w:r>
      <w:r w:rsidRPr="00A6673F">
        <w:rPr>
          <w:spacing w:val="-14"/>
        </w:rPr>
        <w:t xml:space="preserve"> </w:t>
      </w:r>
      <w:r w:rsidRPr="00A6673F">
        <w:t>y</w:t>
      </w:r>
      <w:r w:rsidRPr="00A6673F">
        <w:rPr>
          <w:spacing w:val="-12"/>
        </w:rPr>
        <w:t xml:space="preserve"> </w:t>
      </w:r>
      <w:r w:rsidRPr="00A6673F">
        <w:t>opera</w:t>
      </w:r>
      <w:r w:rsidRPr="00A6673F">
        <w:rPr>
          <w:spacing w:val="-14"/>
        </w:rPr>
        <w:t xml:space="preserve"> </w:t>
      </w:r>
      <w:r w:rsidRPr="00A6673F">
        <w:t>en</w:t>
      </w:r>
      <w:r>
        <w:rPr>
          <w:spacing w:val="-11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t>países,</w:t>
      </w:r>
      <w:r>
        <w:rPr>
          <w:spacing w:val="-11"/>
        </w:rPr>
        <w:t xml:space="preserve"> </w:t>
      </w:r>
      <w:r>
        <w:t>vendiendo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productos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más de 80 países de todo el mundo.</w:t>
      </w:r>
    </w:p>
    <w:p w:rsidR="007064FE" w:rsidRPr="0014562E" w:rsidRDefault="007064FE" w:rsidP="007064FE">
      <w:pPr>
        <w:pStyle w:val="Textoindependiente"/>
        <w:spacing w:before="152"/>
        <w:rPr>
          <w:sz w:val="20"/>
          <w:szCs w:val="20"/>
        </w:rPr>
      </w:pPr>
    </w:p>
    <w:p w:rsidR="007064FE" w:rsidRDefault="007064FE" w:rsidP="007064FE">
      <w:pPr>
        <w:ind w:left="222"/>
        <w:rPr>
          <w:b/>
          <w:sz w:val="20"/>
        </w:rPr>
      </w:pP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información:</w:t>
      </w:r>
    </w:p>
    <w:p w:rsidR="007064FE" w:rsidRDefault="007064FE" w:rsidP="007064FE">
      <w:pPr>
        <w:tabs>
          <w:tab w:val="left" w:pos="4552"/>
        </w:tabs>
        <w:spacing w:before="238" w:line="243" w:lineRule="exact"/>
        <w:ind w:left="222"/>
        <w:rPr>
          <w:b/>
          <w:sz w:val="20"/>
        </w:rPr>
      </w:pPr>
      <w:r>
        <w:rPr>
          <w:b/>
          <w:sz w:val="20"/>
        </w:rPr>
        <w:t>Atlántica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Report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Comunicación</w:t>
      </w:r>
    </w:p>
    <w:p w:rsidR="00B747A0" w:rsidRDefault="007064FE" w:rsidP="00B747A0">
      <w:pPr>
        <w:tabs>
          <w:tab w:val="left" w:pos="6028"/>
        </w:tabs>
        <w:spacing w:line="243" w:lineRule="exact"/>
        <w:ind w:left="222"/>
        <w:rPr>
          <w:spacing w:val="-5"/>
          <w:sz w:val="20"/>
        </w:rPr>
      </w:pPr>
      <w:r>
        <w:rPr>
          <w:sz w:val="20"/>
        </w:rPr>
        <w:t>Tel.:</w:t>
      </w:r>
      <w:r>
        <w:rPr>
          <w:spacing w:val="-4"/>
          <w:sz w:val="20"/>
        </w:rPr>
        <w:t xml:space="preserve"> </w:t>
      </w:r>
      <w:r>
        <w:rPr>
          <w:sz w:val="20"/>
        </w:rPr>
        <w:t>986</w:t>
      </w:r>
      <w:r>
        <w:rPr>
          <w:spacing w:val="-4"/>
          <w:sz w:val="20"/>
        </w:rPr>
        <w:t xml:space="preserve"> </w:t>
      </w:r>
      <w:r>
        <w:rPr>
          <w:sz w:val="20"/>
        </w:rPr>
        <w:t>260</w:t>
      </w:r>
      <w:r>
        <w:rPr>
          <w:spacing w:val="-3"/>
          <w:sz w:val="20"/>
        </w:rPr>
        <w:t xml:space="preserve"> </w:t>
      </w:r>
      <w:r>
        <w:rPr>
          <w:sz w:val="20"/>
        </w:rPr>
        <w:t>680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609</w:t>
      </w:r>
      <w:r>
        <w:rPr>
          <w:spacing w:val="-3"/>
          <w:sz w:val="20"/>
        </w:rPr>
        <w:t xml:space="preserve"> </w:t>
      </w:r>
      <w:r>
        <w:rPr>
          <w:sz w:val="20"/>
        </w:rPr>
        <w:t>036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730</w:t>
      </w:r>
    </w:p>
    <w:p w:rsidR="00D56F78" w:rsidRDefault="00BB5B7B" w:rsidP="00CA735B">
      <w:pPr>
        <w:tabs>
          <w:tab w:val="left" w:pos="6028"/>
        </w:tabs>
        <w:spacing w:line="243" w:lineRule="exact"/>
        <w:ind w:left="222"/>
        <w:rPr>
          <w:i/>
          <w:sz w:val="20"/>
        </w:rPr>
      </w:pPr>
      <w:hyperlink r:id="rId7" w:history="1">
        <w:r w:rsidR="00B747A0" w:rsidRPr="00D95CA1">
          <w:rPr>
            <w:rStyle w:val="Hipervnculo"/>
            <w:spacing w:val="-2"/>
            <w:sz w:val="20"/>
          </w:rPr>
          <w:t>prensa@nuevapescanova.com</w:t>
        </w:r>
      </w:hyperlink>
    </w:p>
    <w:sectPr w:rsidR="00D56F78" w:rsidSect="00CA735B">
      <w:headerReference w:type="default" r:id="rId8"/>
      <w:pgSz w:w="11910" w:h="16840"/>
      <w:pgMar w:top="2080" w:right="900" w:bottom="1276" w:left="1480" w:header="11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B7B" w:rsidRDefault="00BB5B7B">
      <w:r>
        <w:separator/>
      </w:r>
    </w:p>
  </w:endnote>
  <w:endnote w:type="continuationSeparator" w:id="0">
    <w:p w:rsidR="00BB5B7B" w:rsidRDefault="00BB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B7B" w:rsidRDefault="00BB5B7B">
      <w:r>
        <w:separator/>
      </w:r>
    </w:p>
  </w:footnote>
  <w:footnote w:type="continuationSeparator" w:id="0">
    <w:p w:rsidR="00BB5B7B" w:rsidRDefault="00BB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F78" w:rsidRDefault="00475B1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3C7F853" wp14:editId="281E909B">
          <wp:simplePos x="0" y="0"/>
          <wp:positionH relativeFrom="page">
            <wp:posOffset>3046730</wp:posOffset>
          </wp:positionH>
          <wp:positionV relativeFrom="page">
            <wp:posOffset>596900</wp:posOffset>
          </wp:positionV>
          <wp:extent cx="1757928" cy="585957"/>
          <wp:effectExtent l="0" t="0" r="0" b="0"/>
          <wp:wrapNone/>
          <wp:docPr id="19977237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7928" cy="585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979"/>
    <w:multiLevelType w:val="hybridMultilevel"/>
    <w:tmpl w:val="A546EA76"/>
    <w:lvl w:ilvl="0" w:tplc="669010AE">
      <w:numFmt w:val="bullet"/>
      <w:lvlText w:val="●"/>
      <w:lvlJc w:val="left"/>
      <w:pPr>
        <w:ind w:left="934" w:hanging="356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1CF188">
      <w:numFmt w:val="bullet"/>
      <w:lvlText w:val="•"/>
      <w:lvlJc w:val="left"/>
      <w:pPr>
        <w:ind w:left="1798" w:hanging="356"/>
      </w:pPr>
      <w:rPr>
        <w:rFonts w:hint="default"/>
        <w:lang w:val="es-ES" w:eastAsia="en-US" w:bidi="ar-SA"/>
      </w:rPr>
    </w:lvl>
    <w:lvl w:ilvl="2" w:tplc="9C32C616">
      <w:numFmt w:val="bullet"/>
      <w:lvlText w:val="•"/>
      <w:lvlJc w:val="left"/>
      <w:pPr>
        <w:ind w:left="2657" w:hanging="356"/>
      </w:pPr>
      <w:rPr>
        <w:rFonts w:hint="default"/>
        <w:lang w:val="es-ES" w:eastAsia="en-US" w:bidi="ar-SA"/>
      </w:rPr>
    </w:lvl>
    <w:lvl w:ilvl="3" w:tplc="B8E6D85A">
      <w:numFmt w:val="bullet"/>
      <w:lvlText w:val="•"/>
      <w:lvlJc w:val="left"/>
      <w:pPr>
        <w:ind w:left="3515" w:hanging="356"/>
      </w:pPr>
      <w:rPr>
        <w:rFonts w:hint="default"/>
        <w:lang w:val="es-ES" w:eastAsia="en-US" w:bidi="ar-SA"/>
      </w:rPr>
    </w:lvl>
    <w:lvl w:ilvl="4" w:tplc="B6F6A852">
      <w:numFmt w:val="bullet"/>
      <w:lvlText w:val="•"/>
      <w:lvlJc w:val="left"/>
      <w:pPr>
        <w:ind w:left="4374" w:hanging="356"/>
      </w:pPr>
      <w:rPr>
        <w:rFonts w:hint="default"/>
        <w:lang w:val="es-ES" w:eastAsia="en-US" w:bidi="ar-SA"/>
      </w:rPr>
    </w:lvl>
    <w:lvl w:ilvl="5" w:tplc="E66A1386">
      <w:numFmt w:val="bullet"/>
      <w:lvlText w:val="•"/>
      <w:lvlJc w:val="left"/>
      <w:pPr>
        <w:ind w:left="5233" w:hanging="356"/>
      </w:pPr>
      <w:rPr>
        <w:rFonts w:hint="default"/>
        <w:lang w:val="es-ES" w:eastAsia="en-US" w:bidi="ar-SA"/>
      </w:rPr>
    </w:lvl>
    <w:lvl w:ilvl="6" w:tplc="55DEA4AC">
      <w:numFmt w:val="bullet"/>
      <w:lvlText w:val="•"/>
      <w:lvlJc w:val="left"/>
      <w:pPr>
        <w:ind w:left="6091" w:hanging="356"/>
      </w:pPr>
      <w:rPr>
        <w:rFonts w:hint="default"/>
        <w:lang w:val="es-ES" w:eastAsia="en-US" w:bidi="ar-SA"/>
      </w:rPr>
    </w:lvl>
    <w:lvl w:ilvl="7" w:tplc="F8265D54">
      <w:numFmt w:val="bullet"/>
      <w:lvlText w:val="•"/>
      <w:lvlJc w:val="left"/>
      <w:pPr>
        <w:ind w:left="6950" w:hanging="356"/>
      </w:pPr>
      <w:rPr>
        <w:rFonts w:hint="default"/>
        <w:lang w:val="es-ES" w:eastAsia="en-US" w:bidi="ar-SA"/>
      </w:rPr>
    </w:lvl>
    <w:lvl w:ilvl="8" w:tplc="F300D80E">
      <w:numFmt w:val="bullet"/>
      <w:lvlText w:val="•"/>
      <w:lvlJc w:val="left"/>
      <w:pPr>
        <w:ind w:left="7809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6EC67D60"/>
    <w:multiLevelType w:val="hybridMultilevel"/>
    <w:tmpl w:val="59E2C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8"/>
    <w:rsid w:val="00015D1E"/>
    <w:rsid w:val="00017D09"/>
    <w:rsid w:val="000323E0"/>
    <w:rsid w:val="00037D95"/>
    <w:rsid w:val="00040512"/>
    <w:rsid w:val="0007110B"/>
    <w:rsid w:val="0007673E"/>
    <w:rsid w:val="00082CBA"/>
    <w:rsid w:val="00097B18"/>
    <w:rsid w:val="000A37B9"/>
    <w:rsid w:val="000A6891"/>
    <w:rsid w:val="000B2C0E"/>
    <w:rsid w:val="000B2F3B"/>
    <w:rsid w:val="000C0A4A"/>
    <w:rsid w:val="000C14D2"/>
    <w:rsid w:val="000D44FE"/>
    <w:rsid w:val="000D7893"/>
    <w:rsid w:val="000E09F7"/>
    <w:rsid w:val="000F4D3B"/>
    <w:rsid w:val="00102EAF"/>
    <w:rsid w:val="00112643"/>
    <w:rsid w:val="001169F2"/>
    <w:rsid w:val="00120802"/>
    <w:rsid w:val="0012404C"/>
    <w:rsid w:val="0014562E"/>
    <w:rsid w:val="00147CA9"/>
    <w:rsid w:val="0016024B"/>
    <w:rsid w:val="001618D7"/>
    <w:rsid w:val="001659E3"/>
    <w:rsid w:val="00173A4E"/>
    <w:rsid w:val="00175274"/>
    <w:rsid w:val="001827C7"/>
    <w:rsid w:val="00192AC2"/>
    <w:rsid w:val="00194779"/>
    <w:rsid w:val="001A632A"/>
    <w:rsid w:val="001B0668"/>
    <w:rsid w:val="001B248C"/>
    <w:rsid w:val="001C1B0D"/>
    <w:rsid w:val="001E4762"/>
    <w:rsid w:val="001F7EB1"/>
    <w:rsid w:val="0022183F"/>
    <w:rsid w:val="00232876"/>
    <w:rsid w:val="00242F25"/>
    <w:rsid w:val="002467C6"/>
    <w:rsid w:val="0025477F"/>
    <w:rsid w:val="002601D6"/>
    <w:rsid w:val="002607BC"/>
    <w:rsid w:val="00261962"/>
    <w:rsid w:val="00266FB1"/>
    <w:rsid w:val="00284BA5"/>
    <w:rsid w:val="002A05BD"/>
    <w:rsid w:val="002A138E"/>
    <w:rsid w:val="002A4588"/>
    <w:rsid w:val="002A65AC"/>
    <w:rsid w:val="002B0FA8"/>
    <w:rsid w:val="002B416D"/>
    <w:rsid w:val="002B7D9F"/>
    <w:rsid w:val="002D1820"/>
    <w:rsid w:val="002D4023"/>
    <w:rsid w:val="002E3559"/>
    <w:rsid w:val="002F05D9"/>
    <w:rsid w:val="00310650"/>
    <w:rsid w:val="0033420D"/>
    <w:rsid w:val="00335ACD"/>
    <w:rsid w:val="00337F6B"/>
    <w:rsid w:val="00345FD3"/>
    <w:rsid w:val="003538C9"/>
    <w:rsid w:val="003551C6"/>
    <w:rsid w:val="00377C5C"/>
    <w:rsid w:val="00382735"/>
    <w:rsid w:val="00390919"/>
    <w:rsid w:val="00397D4F"/>
    <w:rsid w:val="003A4CCA"/>
    <w:rsid w:val="003B1B81"/>
    <w:rsid w:val="003D1EC8"/>
    <w:rsid w:val="003D51D4"/>
    <w:rsid w:val="003E29A9"/>
    <w:rsid w:val="003F0067"/>
    <w:rsid w:val="003F59BA"/>
    <w:rsid w:val="003F6750"/>
    <w:rsid w:val="00413108"/>
    <w:rsid w:val="00432DBA"/>
    <w:rsid w:val="00453AE0"/>
    <w:rsid w:val="0045480E"/>
    <w:rsid w:val="00474557"/>
    <w:rsid w:val="00475B1D"/>
    <w:rsid w:val="00476698"/>
    <w:rsid w:val="00486FE7"/>
    <w:rsid w:val="00490BDC"/>
    <w:rsid w:val="00496E61"/>
    <w:rsid w:val="004A43AD"/>
    <w:rsid w:val="005033B5"/>
    <w:rsid w:val="00510AC1"/>
    <w:rsid w:val="00523A83"/>
    <w:rsid w:val="00545F0D"/>
    <w:rsid w:val="00553256"/>
    <w:rsid w:val="00583404"/>
    <w:rsid w:val="00583FCE"/>
    <w:rsid w:val="00586529"/>
    <w:rsid w:val="0059330E"/>
    <w:rsid w:val="005A4818"/>
    <w:rsid w:val="005B0CE5"/>
    <w:rsid w:val="005C2C67"/>
    <w:rsid w:val="005D159F"/>
    <w:rsid w:val="005D46A8"/>
    <w:rsid w:val="005D7BC1"/>
    <w:rsid w:val="005D7C6B"/>
    <w:rsid w:val="00601D00"/>
    <w:rsid w:val="00602D62"/>
    <w:rsid w:val="006072F2"/>
    <w:rsid w:val="00610CF0"/>
    <w:rsid w:val="006254CF"/>
    <w:rsid w:val="00654FBD"/>
    <w:rsid w:val="00664899"/>
    <w:rsid w:val="0069023B"/>
    <w:rsid w:val="006B196F"/>
    <w:rsid w:val="006B69DC"/>
    <w:rsid w:val="006C0F9D"/>
    <w:rsid w:val="006C36FB"/>
    <w:rsid w:val="006D0A9D"/>
    <w:rsid w:val="006D22D3"/>
    <w:rsid w:val="006D375D"/>
    <w:rsid w:val="006D4A86"/>
    <w:rsid w:val="006F58F5"/>
    <w:rsid w:val="007064FE"/>
    <w:rsid w:val="0071251C"/>
    <w:rsid w:val="00717BA0"/>
    <w:rsid w:val="00745086"/>
    <w:rsid w:val="00745C7C"/>
    <w:rsid w:val="00746D64"/>
    <w:rsid w:val="00746E89"/>
    <w:rsid w:val="00753238"/>
    <w:rsid w:val="0075478E"/>
    <w:rsid w:val="007616DC"/>
    <w:rsid w:val="00764FD1"/>
    <w:rsid w:val="007664A0"/>
    <w:rsid w:val="007672ED"/>
    <w:rsid w:val="00786B94"/>
    <w:rsid w:val="007A3CAE"/>
    <w:rsid w:val="007A51FC"/>
    <w:rsid w:val="007B3BE1"/>
    <w:rsid w:val="007C20E5"/>
    <w:rsid w:val="007C410C"/>
    <w:rsid w:val="007D43D5"/>
    <w:rsid w:val="007E0CA6"/>
    <w:rsid w:val="007E2E75"/>
    <w:rsid w:val="007F6704"/>
    <w:rsid w:val="00802EE3"/>
    <w:rsid w:val="00806BE3"/>
    <w:rsid w:val="00817320"/>
    <w:rsid w:val="00824740"/>
    <w:rsid w:val="008247EA"/>
    <w:rsid w:val="00843561"/>
    <w:rsid w:val="0084689D"/>
    <w:rsid w:val="008656D6"/>
    <w:rsid w:val="008712CE"/>
    <w:rsid w:val="00871A0F"/>
    <w:rsid w:val="00874E4C"/>
    <w:rsid w:val="008977B8"/>
    <w:rsid w:val="008B471A"/>
    <w:rsid w:val="008B5D1F"/>
    <w:rsid w:val="008C42F1"/>
    <w:rsid w:val="008C4445"/>
    <w:rsid w:val="008E3B69"/>
    <w:rsid w:val="008F5A45"/>
    <w:rsid w:val="00903B48"/>
    <w:rsid w:val="009063EE"/>
    <w:rsid w:val="0091695A"/>
    <w:rsid w:val="00921C24"/>
    <w:rsid w:val="009322BD"/>
    <w:rsid w:val="009418D5"/>
    <w:rsid w:val="009472FF"/>
    <w:rsid w:val="00950241"/>
    <w:rsid w:val="00951CC9"/>
    <w:rsid w:val="0097423B"/>
    <w:rsid w:val="00976DEA"/>
    <w:rsid w:val="00981C9E"/>
    <w:rsid w:val="0098445B"/>
    <w:rsid w:val="009B2AE6"/>
    <w:rsid w:val="009C78CE"/>
    <w:rsid w:val="009C7EBC"/>
    <w:rsid w:val="009D3D62"/>
    <w:rsid w:val="009D6ECB"/>
    <w:rsid w:val="009E08D3"/>
    <w:rsid w:val="009E2391"/>
    <w:rsid w:val="009F1E71"/>
    <w:rsid w:val="00A01075"/>
    <w:rsid w:val="00A32E59"/>
    <w:rsid w:val="00A338F8"/>
    <w:rsid w:val="00A41E0F"/>
    <w:rsid w:val="00A44A7E"/>
    <w:rsid w:val="00A44EE0"/>
    <w:rsid w:val="00A45392"/>
    <w:rsid w:val="00A63A97"/>
    <w:rsid w:val="00A6673F"/>
    <w:rsid w:val="00A7163E"/>
    <w:rsid w:val="00A9125B"/>
    <w:rsid w:val="00AA3284"/>
    <w:rsid w:val="00AA5BAF"/>
    <w:rsid w:val="00AA66F2"/>
    <w:rsid w:val="00AA7BF8"/>
    <w:rsid w:val="00AB0641"/>
    <w:rsid w:val="00AC42D5"/>
    <w:rsid w:val="00AD10DC"/>
    <w:rsid w:val="00AD5D4A"/>
    <w:rsid w:val="00AE2D56"/>
    <w:rsid w:val="00AE75DA"/>
    <w:rsid w:val="00B32482"/>
    <w:rsid w:val="00B403CC"/>
    <w:rsid w:val="00B4203C"/>
    <w:rsid w:val="00B4215E"/>
    <w:rsid w:val="00B53FB5"/>
    <w:rsid w:val="00B54FB1"/>
    <w:rsid w:val="00B55402"/>
    <w:rsid w:val="00B66FF8"/>
    <w:rsid w:val="00B7258D"/>
    <w:rsid w:val="00B73F85"/>
    <w:rsid w:val="00B747A0"/>
    <w:rsid w:val="00B815FA"/>
    <w:rsid w:val="00B876B9"/>
    <w:rsid w:val="00BA068C"/>
    <w:rsid w:val="00BA1230"/>
    <w:rsid w:val="00BA386A"/>
    <w:rsid w:val="00BA467E"/>
    <w:rsid w:val="00BA7A75"/>
    <w:rsid w:val="00BB2110"/>
    <w:rsid w:val="00BB56D9"/>
    <w:rsid w:val="00BB5B7B"/>
    <w:rsid w:val="00BB734B"/>
    <w:rsid w:val="00BB7DF4"/>
    <w:rsid w:val="00BC0844"/>
    <w:rsid w:val="00BC7B56"/>
    <w:rsid w:val="00BD149D"/>
    <w:rsid w:val="00BE0BE0"/>
    <w:rsid w:val="00BE3A38"/>
    <w:rsid w:val="00BF3E6A"/>
    <w:rsid w:val="00C024C4"/>
    <w:rsid w:val="00C124B5"/>
    <w:rsid w:val="00C14F53"/>
    <w:rsid w:val="00C16E2F"/>
    <w:rsid w:val="00C23C6D"/>
    <w:rsid w:val="00C278BD"/>
    <w:rsid w:val="00C307B7"/>
    <w:rsid w:val="00C3502B"/>
    <w:rsid w:val="00C377F3"/>
    <w:rsid w:val="00C42E4D"/>
    <w:rsid w:val="00C46404"/>
    <w:rsid w:val="00C7358C"/>
    <w:rsid w:val="00C757D0"/>
    <w:rsid w:val="00C76209"/>
    <w:rsid w:val="00C776FD"/>
    <w:rsid w:val="00C831C0"/>
    <w:rsid w:val="00C9129C"/>
    <w:rsid w:val="00CA226C"/>
    <w:rsid w:val="00CA680C"/>
    <w:rsid w:val="00CA735B"/>
    <w:rsid w:val="00CA73C1"/>
    <w:rsid w:val="00CB1F38"/>
    <w:rsid w:val="00CC181B"/>
    <w:rsid w:val="00CE4625"/>
    <w:rsid w:val="00D230AF"/>
    <w:rsid w:val="00D56F78"/>
    <w:rsid w:val="00D608FD"/>
    <w:rsid w:val="00D61DE2"/>
    <w:rsid w:val="00D71BC2"/>
    <w:rsid w:val="00D85CA1"/>
    <w:rsid w:val="00D87B5C"/>
    <w:rsid w:val="00DA0383"/>
    <w:rsid w:val="00DA5949"/>
    <w:rsid w:val="00DC2058"/>
    <w:rsid w:val="00DD6873"/>
    <w:rsid w:val="00DE4A6C"/>
    <w:rsid w:val="00DE5D2B"/>
    <w:rsid w:val="00E07243"/>
    <w:rsid w:val="00E1134E"/>
    <w:rsid w:val="00E176DD"/>
    <w:rsid w:val="00E20568"/>
    <w:rsid w:val="00E2528A"/>
    <w:rsid w:val="00E320BA"/>
    <w:rsid w:val="00E43323"/>
    <w:rsid w:val="00E53BCF"/>
    <w:rsid w:val="00E87569"/>
    <w:rsid w:val="00EB0B31"/>
    <w:rsid w:val="00EB3941"/>
    <w:rsid w:val="00EB577D"/>
    <w:rsid w:val="00EC5777"/>
    <w:rsid w:val="00EC77C8"/>
    <w:rsid w:val="00ED4420"/>
    <w:rsid w:val="00ED4778"/>
    <w:rsid w:val="00F072B7"/>
    <w:rsid w:val="00F21145"/>
    <w:rsid w:val="00F26857"/>
    <w:rsid w:val="00F30CDA"/>
    <w:rsid w:val="00F34401"/>
    <w:rsid w:val="00F40BD5"/>
    <w:rsid w:val="00F44EA7"/>
    <w:rsid w:val="00F649CE"/>
    <w:rsid w:val="00F7079F"/>
    <w:rsid w:val="00F75CDD"/>
    <w:rsid w:val="00F82CEE"/>
    <w:rsid w:val="00F8301A"/>
    <w:rsid w:val="00F91E4C"/>
    <w:rsid w:val="00FA0030"/>
    <w:rsid w:val="00FA13BC"/>
    <w:rsid w:val="00FB4ABA"/>
    <w:rsid w:val="00FD0033"/>
    <w:rsid w:val="00FE6C22"/>
    <w:rsid w:val="00FF1FD9"/>
    <w:rsid w:val="2AD341DA"/>
    <w:rsid w:val="7A8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B8DF3"/>
  <w15:docId w15:val="{C49B16B8-5646-4423-A090-6BFC3B5E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52" w:firstLine="15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"/>
      <w:ind w:left="934" w:right="30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7064FE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D78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89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78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893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A05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05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05BD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05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05BD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B747A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47A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44E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nsa@nuevapescan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705</Words>
  <Characters>3882</Characters>
  <Application>Microsoft Office Word</Application>
  <DocSecurity>0</DocSecurity>
  <Lines>32</Lines>
  <Paragraphs>9</Paragraphs>
  <ScaleCrop>false</ScaleCrop>
  <Company>NUEVAPESCANOVA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Monroy</dc:creator>
  <cp:keywords/>
  <cp:lastModifiedBy>Maria Dolores Rosales Guimerans</cp:lastModifiedBy>
  <cp:revision>93</cp:revision>
  <cp:lastPrinted>2025-03-11T01:06:00Z</cp:lastPrinted>
  <dcterms:created xsi:type="dcterms:W3CDTF">2025-03-12T18:49:00Z</dcterms:created>
  <dcterms:modified xsi:type="dcterms:W3CDTF">2025-06-09T09:26:00Z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para Microsoft 365</vt:lpwstr>
  </property>
</Properties>
</file>